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1C5C" w14:textId="0A86E1B6" w:rsidR="009021F0" w:rsidRPr="009021F0" w:rsidRDefault="009021F0" w:rsidP="009021F0">
      <w:pPr>
        <w:spacing w:after="0"/>
        <w:jc w:val="center"/>
        <w:rPr>
          <w:rFonts w:asciiTheme="majorBidi" w:hAnsiTheme="majorBidi" w:cstheme="majorBidi"/>
          <w:b/>
          <w:bCs/>
          <w:sz w:val="32"/>
          <w:szCs w:val="32"/>
        </w:rPr>
      </w:pPr>
      <w:r w:rsidRPr="009021F0">
        <w:rPr>
          <w:rFonts w:asciiTheme="majorBidi" w:hAnsiTheme="majorBidi" w:cstheme="majorBidi"/>
          <w:b/>
          <w:bCs/>
          <w:sz w:val="30"/>
          <w:szCs w:val="30"/>
        </w:rPr>
        <w:t xml:space="preserve">Der </w:t>
      </w:r>
      <w:proofErr w:type="spellStart"/>
      <w:r w:rsidRPr="009021F0">
        <w:rPr>
          <w:rFonts w:asciiTheme="majorBidi" w:hAnsiTheme="majorBidi" w:cstheme="majorBidi"/>
          <w:b/>
          <w:bCs/>
          <w:sz w:val="30"/>
          <w:szCs w:val="30"/>
        </w:rPr>
        <w:t>Khutbah</w:t>
      </w:r>
      <w:proofErr w:type="spellEnd"/>
      <w:r w:rsidRPr="009021F0">
        <w:rPr>
          <w:rFonts w:asciiTheme="majorBidi" w:hAnsiTheme="majorBidi" w:cstheme="majorBidi"/>
          <w:b/>
          <w:bCs/>
          <w:sz w:val="30"/>
          <w:szCs w:val="30"/>
        </w:rPr>
        <w:t xml:space="preserve"> zuhören oder das Moscheebegrüßungsgebet verrichten?</w:t>
      </w:r>
      <w:r>
        <w:rPr>
          <w:rFonts w:asciiTheme="majorBidi" w:hAnsiTheme="majorBidi" w:cstheme="majorBidi"/>
          <w:b/>
          <w:bCs/>
          <w:sz w:val="32"/>
          <w:szCs w:val="32"/>
        </w:rPr>
        <w:br/>
      </w:r>
      <w:r w:rsidRPr="009021F0">
        <w:rPr>
          <w:rFonts w:asciiTheme="majorBidi" w:hAnsiTheme="majorBidi" w:cstheme="majorBidi"/>
          <w:b/>
          <w:bCs/>
          <w:sz w:val="30"/>
          <w:szCs w:val="30"/>
        </w:rPr>
        <w:t>Harmonisierung zwischen scheinbar widersprüchlichen Belegen</w:t>
      </w:r>
    </w:p>
    <w:p w14:paraId="7AC8AB38" w14:textId="77777777" w:rsidR="009021F0" w:rsidRDefault="009021F0" w:rsidP="009021F0">
      <w:pPr>
        <w:spacing w:after="0"/>
        <w:rPr>
          <w:rFonts w:asciiTheme="majorBidi" w:hAnsiTheme="majorBidi" w:cstheme="majorBidi"/>
          <w:b/>
          <w:bCs/>
        </w:rPr>
      </w:pPr>
    </w:p>
    <w:p w14:paraId="7F5D6D37" w14:textId="77777777" w:rsidR="009021F0" w:rsidRPr="005507B9" w:rsidRDefault="009021F0" w:rsidP="009021F0">
      <w:pPr>
        <w:spacing w:after="0"/>
        <w:rPr>
          <w:rFonts w:asciiTheme="majorBidi" w:hAnsiTheme="majorBidi" w:cstheme="majorBidi"/>
        </w:rPr>
      </w:pPr>
      <w:r w:rsidRPr="005507B9">
        <w:rPr>
          <w:rFonts w:asciiTheme="majorBidi" w:hAnsiTheme="majorBidi" w:cstheme="majorBidi"/>
        </w:rPr>
        <w:t xml:space="preserve">Ibn </w:t>
      </w:r>
      <w:proofErr w:type="spellStart"/>
      <w:r w:rsidRPr="005507B9">
        <w:rPr>
          <w:rFonts w:asciiTheme="majorBidi" w:hAnsiTheme="majorBidi" w:cstheme="majorBidi"/>
        </w:rPr>
        <w:t>Daqīq</w:t>
      </w:r>
      <w:proofErr w:type="spellEnd"/>
      <w:r w:rsidRPr="005507B9">
        <w:rPr>
          <w:rFonts w:asciiTheme="majorBidi" w:hAnsiTheme="majorBidi" w:cstheme="majorBidi"/>
        </w:rPr>
        <w:t xml:space="preserve"> al-</w:t>
      </w:r>
      <w:proofErr w:type="spellStart"/>
      <w:r w:rsidRPr="005507B9">
        <w:rPr>
          <w:rFonts w:asciiTheme="majorBidi" w:hAnsiTheme="majorBidi" w:cstheme="majorBidi"/>
        </w:rPr>
        <w:t>ʿĪd</w:t>
      </w:r>
      <w:proofErr w:type="spellEnd"/>
      <w:r>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xml:space="preserve"> – </w:t>
      </w:r>
      <w:proofErr w:type="spellStart"/>
      <w:r w:rsidRPr="005507B9">
        <w:rPr>
          <w:rFonts w:asciiTheme="majorBidi" w:hAnsiTheme="majorBidi" w:cstheme="majorBidi"/>
        </w:rPr>
        <w:t>Iḥkām</w:t>
      </w:r>
      <w:proofErr w:type="spellEnd"/>
      <w:r w:rsidRPr="005507B9">
        <w:rPr>
          <w:rFonts w:asciiTheme="majorBidi" w:hAnsiTheme="majorBidi" w:cstheme="majorBidi"/>
        </w:rPr>
        <w:t xml:space="preserve"> al-</w:t>
      </w:r>
      <w:proofErr w:type="spellStart"/>
      <w:r w:rsidRPr="005507B9">
        <w:rPr>
          <w:rFonts w:asciiTheme="majorBidi" w:hAnsiTheme="majorBidi" w:cstheme="majorBidi"/>
        </w:rPr>
        <w:t>Aḥkām</w:t>
      </w:r>
      <w:proofErr w:type="spellEnd"/>
      <w:r w:rsidRPr="005507B9">
        <w:rPr>
          <w:rFonts w:asciiTheme="majorBidi" w:hAnsiTheme="majorBidi" w:cstheme="majorBidi"/>
        </w:rPr>
        <w:t>:</w:t>
      </w:r>
      <w:r>
        <w:rPr>
          <w:rFonts w:asciiTheme="majorBidi" w:hAnsiTheme="majorBidi" w:cstheme="majorBidi"/>
        </w:rPr>
        <w:br/>
      </w:r>
    </w:p>
    <w:p w14:paraId="3E33CA25" w14:textId="77777777" w:rsidR="009021F0" w:rsidRPr="00D46BEA" w:rsidRDefault="009021F0" w:rsidP="009021F0">
      <w:pPr>
        <w:spacing w:after="0"/>
        <w:jc w:val="right"/>
        <w:rPr>
          <w:rFonts w:ascii="Arabic Typesetting" w:hAnsi="Arabic Typesetting" w:cs="Arabic Typesetting"/>
          <w:sz w:val="32"/>
          <w:szCs w:val="32"/>
        </w:rPr>
      </w:pPr>
      <w:r w:rsidRPr="00D46BEA">
        <w:rPr>
          <w:rFonts w:ascii="Arabic Typesetting" w:hAnsi="Arabic Typesetting" w:cs="Arabic Typesetting"/>
          <w:sz w:val="32"/>
          <w:szCs w:val="32"/>
          <w:rtl/>
        </w:rPr>
        <w:t>اخْتَلَفَ الْفُقَهَاءُ فِيمَنْ دَخَلَ الْمَسْجِدَ وَالْإِمَامُ يَخْطُبُ: هَلْ يَرْكَعُ رَكْعَتَيْ التَّحِيَّةِ حِينَئِذٍ أَمْ لَا؟ فَذَهَبَ الشَّافِعِيُّ وَأَحْمَدُ وَأَكْثَرُ أَصْحَابِ الْحَدِيثِ إلَى أَنَّهُ يَرْكَعُ، لِهَذَا الْحَدِيثِ وَغَيْرِهِ، مِمَّا هُوَ أَصْرَحُ مِنْهُ. وَهُوَ قَوْلُهُ – صَلَّى اللَّهُ عَلَيْهِ وَسَلَّمَ – ” إذَا جَاءَ أَحَدُكُمْ يَوْمَ الْجُمُعَةِ وَالْإِمَامُ يَخْطُبُ فَلِيَرْكَعْ رَكْعَتَيْنِ، وَلْيَتَجَوَّزْ فِيهِمَا</w:t>
      </w:r>
    </w:p>
    <w:p w14:paraId="63DECE52" w14:textId="77777777" w:rsidR="009021F0" w:rsidRPr="005507B9" w:rsidRDefault="009021F0" w:rsidP="009021F0">
      <w:pPr>
        <w:spacing w:after="0"/>
        <w:jc w:val="right"/>
        <w:rPr>
          <w:rFonts w:asciiTheme="majorBidi" w:hAnsiTheme="majorBidi" w:cstheme="majorBidi"/>
        </w:rPr>
      </w:pPr>
      <w:r w:rsidRPr="00D46BEA">
        <w:rPr>
          <w:rFonts w:ascii="Arabic Typesetting" w:hAnsi="Arabic Typesetting" w:cs="Arabic Typesetting"/>
          <w:sz w:val="32"/>
          <w:szCs w:val="32"/>
        </w:rPr>
        <w:t>**</w:t>
      </w:r>
      <w:r w:rsidRPr="00D46BEA">
        <w:rPr>
          <w:rFonts w:ascii="Arabic Typesetting" w:hAnsi="Arabic Typesetting" w:cs="Arabic Typesetting"/>
          <w:sz w:val="32"/>
          <w:szCs w:val="32"/>
          <w:rtl/>
        </w:rPr>
        <w:t>وَذَهَبَ مَالِكٌ وَأَبُو حَنِيفَةَ إلَى أَنَّهُ لَا يَرْكَعُهُمَا، لِوُجُوبِ الِاشْتِغَالِ بِالِاسْتِمَاعِ. وَاسْتَدَلَّ عَلَى ذَلِكَ بِقَوْلِهِ – صَلَّى اللَّهُ عَلَيْهِ وَسَلَّمَ – «إذَا قُلْتَ لِصَاحِبِكَ وَالْإِمَامُ يَخْطُبُ يَوْمَ الْجُمُعَةِ: أَنْصِتْ فَقَدْ لَغَوْتَ» قَالُوا: فَإِذَا مُنِعَ مِنْ هَذِهِ الْكَلِمَةِ – مَعَ كَوْنِهَا أَمْرًا بِمَعْرُوفٍ وَنَهْيًا عَنْ مُنْكَرٍ فِي زَمَنٍ يَسِيرٍ – فَلَأَنْ يُمْنَعَ مِنَ الرَّكْعَتَيْنِ – مَعَ كَوْنِهِمَا مَسْنُونَتَيْنِ فِي زَمَنٍ طَوِيلٍ – أَوْلَى</w:t>
      </w:r>
      <w:r w:rsidRPr="005507B9">
        <w:rPr>
          <w:rFonts w:asciiTheme="majorBidi" w:hAnsiTheme="majorBidi" w:cstheme="majorBidi"/>
        </w:rPr>
        <w:t>.</w:t>
      </w:r>
    </w:p>
    <w:p w14:paraId="759E1AAB" w14:textId="2326E64A" w:rsidR="009021F0" w:rsidRDefault="009021F0" w:rsidP="009021F0">
      <w:pPr>
        <w:spacing w:after="0"/>
        <w:rPr>
          <w:rFonts w:asciiTheme="majorBidi" w:hAnsiTheme="majorBidi" w:cstheme="majorBidi"/>
        </w:rPr>
      </w:pPr>
      <w:r>
        <w:rPr>
          <w:rFonts w:asciiTheme="majorBidi" w:hAnsiTheme="majorBidi" w:cstheme="majorBidi"/>
        </w:rPr>
        <w:t>„</w:t>
      </w:r>
      <w:r w:rsidRPr="005507B9">
        <w:rPr>
          <w:rFonts w:asciiTheme="majorBidi" w:hAnsiTheme="majorBidi" w:cstheme="majorBidi"/>
        </w:rPr>
        <w:t xml:space="preserve">Die Gelehrten waren sich uneinig darüber, ob jemand, der die Moschee betritt, während der Imam predigt, zu diesem Zeitpunkt die zwei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des </w:t>
      </w:r>
      <w:proofErr w:type="spellStart"/>
      <w:r w:rsidRPr="005507B9">
        <w:rPr>
          <w:rFonts w:asciiTheme="majorBidi" w:hAnsiTheme="majorBidi" w:cstheme="majorBidi"/>
        </w:rPr>
        <w:t>Tahiyyat</w:t>
      </w:r>
      <w:proofErr w:type="spellEnd"/>
      <w:r w:rsidRPr="005507B9">
        <w:rPr>
          <w:rFonts w:asciiTheme="majorBidi" w:hAnsiTheme="majorBidi" w:cstheme="majorBidi"/>
        </w:rPr>
        <w:t xml:space="preserve"> </w:t>
      </w:r>
      <w:r w:rsidR="005F31D5">
        <w:rPr>
          <w:rFonts w:asciiTheme="majorBidi" w:hAnsiTheme="majorBidi" w:cstheme="majorBidi"/>
        </w:rPr>
        <w:t>A</w:t>
      </w:r>
      <w:r w:rsidRPr="005507B9">
        <w:rPr>
          <w:rFonts w:asciiTheme="majorBidi" w:hAnsiTheme="majorBidi" w:cstheme="majorBidi"/>
        </w:rPr>
        <w:t>l-Masdschid betet. Asch-</w:t>
      </w:r>
      <w:proofErr w:type="spellStart"/>
      <w:r w:rsidRPr="005507B9">
        <w:rPr>
          <w:rFonts w:asciiTheme="majorBidi" w:hAnsiTheme="majorBidi" w:cstheme="majorBidi"/>
        </w:rPr>
        <w:t>Schāfiʿī</w:t>
      </w:r>
      <w:proofErr w:type="spellEnd"/>
      <w:r>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Ahmad</w:t>
      </w:r>
      <w:r>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xml:space="preserve"> und die meisten Hadith-Gelehrten vertreten, dass er sie betet – aufgrund dieses </w:t>
      </w:r>
      <w:proofErr w:type="spellStart"/>
      <w:r w:rsidRPr="005507B9">
        <w:rPr>
          <w:rFonts w:asciiTheme="majorBidi" w:hAnsiTheme="majorBidi" w:cstheme="majorBidi"/>
        </w:rPr>
        <w:t>Hadiths</w:t>
      </w:r>
      <w:proofErr w:type="spellEnd"/>
      <w:r w:rsidRPr="005507B9">
        <w:rPr>
          <w:rFonts w:asciiTheme="majorBidi" w:hAnsiTheme="majorBidi" w:cstheme="majorBidi"/>
        </w:rPr>
        <w:t xml:space="preserve"> und anderer, noch eindeutigerer Überlieferungen: „Wenn einer von euch am Freitag kommt, während der Imam predigt, soll er zwei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beten und sie kurz verrichten.</w:t>
      </w:r>
      <w:r>
        <w:rPr>
          <w:rFonts w:asciiTheme="majorBidi" w:hAnsiTheme="majorBidi" w:cstheme="majorBidi"/>
        </w:rPr>
        <w:br/>
      </w:r>
      <w:proofErr w:type="spellStart"/>
      <w:r w:rsidRPr="005507B9">
        <w:rPr>
          <w:rFonts w:asciiTheme="majorBidi" w:hAnsiTheme="majorBidi" w:cstheme="majorBidi"/>
        </w:rPr>
        <w:t>Mālik</w:t>
      </w:r>
      <w:proofErr w:type="spellEnd"/>
      <w:r w:rsidRPr="005507B9">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xml:space="preserve"> und Abū </w:t>
      </w:r>
      <w:proofErr w:type="spellStart"/>
      <w:r w:rsidRPr="005507B9">
        <w:rPr>
          <w:rFonts w:asciiTheme="majorBidi" w:hAnsiTheme="majorBidi" w:cstheme="majorBidi"/>
        </w:rPr>
        <w:t>Ḥanīfa</w:t>
      </w:r>
      <w:r>
        <w:rPr>
          <w:rFonts w:asciiTheme="majorBidi" w:hAnsiTheme="majorBidi" w:cstheme="majorBidi"/>
        </w:rPr>
        <w:t>h</w:t>
      </w:r>
      <w:proofErr w:type="spellEnd"/>
      <w:r>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xml:space="preserve"> vertreten dagegen, dass er diese beiden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nicht betet, weil das Zuhören verpflichtend ist. Als Beweis führen sie den Ausspruch des Propheten </w:t>
      </w:r>
      <w:r w:rsidRPr="005507B9">
        <w:rPr>
          <w:rFonts w:asciiTheme="majorBidi" w:hAnsiTheme="majorBidi" w:cstheme="majorBidi"/>
          <w:rtl/>
        </w:rPr>
        <w:t xml:space="preserve">ﷺ </w:t>
      </w:r>
      <w:r w:rsidRPr="005507B9">
        <w:rPr>
          <w:rFonts w:asciiTheme="majorBidi" w:hAnsiTheme="majorBidi" w:cstheme="majorBidi"/>
        </w:rPr>
        <w:t xml:space="preserve">an: „Wenn du zu deinem Gefährten sagst: ‚Sei still!‘, während der Imam am Freitag predigt, hast du etwas Sinnloses getan.“ Sie argumentieren: Wenn bereits diese kurze Aufforderung zum Guten und die Warnung vor dem Schlechten untersagt wird, obwohl sie an sich eine gute Handlung ist, dann gilt dies erst recht für zwei freiwillige </w:t>
      </w:r>
      <w:proofErr w:type="spellStart"/>
      <w:r w:rsidRPr="005507B9">
        <w:rPr>
          <w:rFonts w:asciiTheme="majorBidi" w:hAnsiTheme="majorBidi" w:cstheme="majorBidi"/>
        </w:rPr>
        <w:t>Rakʿah</w:t>
      </w:r>
      <w:proofErr w:type="spellEnd"/>
      <w:r w:rsidRPr="005507B9">
        <w:rPr>
          <w:rFonts w:asciiTheme="majorBidi" w:hAnsiTheme="majorBidi" w:cstheme="majorBidi"/>
        </w:rPr>
        <w:t>, die länger dauern.</w:t>
      </w:r>
      <w:r>
        <w:rPr>
          <w:rFonts w:asciiTheme="majorBidi" w:hAnsiTheme="majorBidi" w:cstheme="majorBidi"/>
        </w:rPr>
        <w:t>“</w:t>
      </w:r>
      <w:r w:rsidRPr="00EE1041">
        <w:rPr>
          <w:rFonts w:asciiTheme="majorBidi" w:hAnsiTheme="majorBidi" w:cstheme="majorBidi"/>
          <w:vertAlign w:val="superscript"/>
        </w:rPr>
        <w:footnoteReference w:id="1"/>
      </w:r>
    </w:p>
    <w:p w14:paraId="4D720E20" w14:textId="77777777" w:rsidR="009021F0" w:rsidRDefault="009021F0" w:rsidP="009021F0">
      <w:pPr>
        <w:spacing w:after="0"/>
        <w:rPr>
          <w:rFonts w:asciiTheme="majorBidi" w:hAnsiTheme="majorBidi" w:cstheme="majorBidi"/>
        </w:rPr>
      </w:pPr>
    </w:p>
    <w:p w14:paraId="2B94D325" w14:textId="77777777" w:rsidR="009021F0" w:rsidRPr="005507B9" w:rsidRDefault="009021F0" w:rsidP="009021F0">
      <w:pPr>
        <w:spacing w:after="0"/>
        <w:rPr>
          <w:rFonts w:asciiTheme="majorBidi" w:hAnsiTheme="majorBidi" w:cstheme="majorBidi"/>
        </w:rPr>
      </w:pPr>
      <w:r w:rsidRPr="005507B9">
        <w:rPr>
          <w:rFonts w:asciiTheme="majorBidi" w:hAnsiTheme="majorBidi" w:cstheme="majorBidi"/>
        </w:rPr>
        <w:t>An-</w:t>
      </w:r>
      <w:proofErr w:type="spellStart"/>
      <w:r w:rsidRPr="005507B9">
        <w:rPr>
          <w:rFonts w:asciiTheme="majorBidi" w:hAnsiTheme="majorBidi" w:cstheme="majorBidi"/>
        </w:rPr>
        <w:t>Nawawī</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(r)</w:t>
      </w:r>
      <w:r w:rsidRPr="005507B9">
        <w:rPr>
          <w:rFonts w:asciiTheme="majorBidi" w:hAnsiTheme="majorBidi" w:cstheme="majorBidi"/>
        </w:rPr>
        <w:t xml:space="preserve"> </w:t>
      </w:r>
      <w:r>
        <w:rPr>
          <w:rFonts w:asciiTheme="majorBidi" w:hAnsiTheme="majorBidi" w:cstheme="majorBidi"/>
        </w:rPr>
        <w:t>erklärt</w:t>
      </w:r>
      <w:r w:rsidRPr="005507B9">
        <w:rPr>
          <w:rFonts w:asciiTheme="majorBidi" w:hAnsiTheme="majorBidi" w:cstheme="majorBidi"/>
        </w:rPr>
        <w:t>:</w:t>
      </w:r>
      <w:r>
        <w:rPr>
          <w:rFonts w:asciiTheme="majorBidi" w:hAnsiTheme="majorBidi" w:cstheme="majorBidi"/>
        </w:rPr>
        <w:br/>
      </w:r>
    </w:p>
    <w:p w14:paraId="0774ED0A" w14:textId="77777777" w:rsidR="009021F0" w:rsidRPr="00D46BEA" w:rsidRDefault="009021F0" w:rsidP="009021F0">
      <w:pPr>
        <w:spacing w:after="0"/>
        <w:jc w:val="right"/>
        <w:rPr>
          <w:rFonts w:ascii="Arabic Typesetting" w:hAnsi="Arabic Typesetting" w:cs="Arabic Typesetting"/>
          <w:sz w:val="32"/>
          <w:szCs w:val="32"/>
        </w:rPr>
      </w:pPr>
      <w:r w:rsidRPr="00D46BEA">
        <w:rPr>
          <w:rFonts w:ascii="Arabic Typesetting" w:hAnsi="Arabic Typesetting" w:cs="Arabic Typesetting"/>
          <w:sz w:val="32"/>
          <w:szCs w:val="32"/>
          <w:rtl/>
        </w:rPr>
        <w:t xml:space="preserve">قَالَ الْقَاضِي وَقَالَ مَالِكٌ وَاللَّيْثُ وَأَبُو حَنِيفَةَ وَالثَّوْرِيُّ وَجُمْهُورُ السَّلَفِ مِنَ الصَّحَابَةِ وَالتَّابِعِينَ لَا يُصَلِّيهِمَا وَهُوَ مَرْوِيٌّ عَنْ عُمَرَ وَعُثْمَانَ وَعَلِيٍّ رَضِيَ اللَّهُ عَنْهُمْ وَحُجَّتُهُمُ الْأَمْرُ بِالْإِنْصَاتِ لِلْإِمَامِ </w:t>
      </w:r>
    </w:p>
    <w:p w14:paraId="2BB64DC2" w14:textId="77777777" w:rsidR="009021F0" w:rsidRPr="005507B9" w:rsidRDefault="009021F0" w:rsidP="009021F0">
      <w:pPr>
        <w:spacing w:after="0"/>
        <w:rPr>
          <w:rFonts w:asciiTheme="majorBidi" w:hAnsiTheme="majorBidi" w:cstheme="majorBidi"/>
        </w:rPr>
      </w:pPr>
      <w:r>
        <w:rPr>
          <w:rFonts w:asciiTheme="majorBidi" w:hAnsiTheme="majorBidi" w:cstheme="majorBidi"/>
        </w:rPr>
        <w:t>„</w:t>
      </w:r>
      <w:r w:rsidRPr="005507B9">
        <w:rPr>
          <w:rFonts w:asciiTheme="majorBidi" w:hAnsiTheme="majorBidi" w:cstheme="majorBidi"/>
        </w:rPr>
        <w:t>Al-</w:t>
      </w:r>
      <w:proofErr w:type="spellStart"/>
      <w:r w:rsidRPr="005507B9">
        <w:rPr>
          <w:rFonts w:asciiTheme="majorBidi" w:hAnsiTheme="majorBidi" w:cstheme="majorBidi"/>
        </w:rPr>
        <w:t>Qāḍī</w:t>
      </w:r>
      <w:proofErr w:type="spellEnd"/>
      <w:r w:rsidRPr="005507B9">
        <w:rPr>
          <w:rFonts w:asciiTheme="majorBidi" w:hAnsiTheme="majorBidi" w:cstheme="majorBidi"/>
        </w:rPr>
        <w:t xml:space="preserve"> sagte: </w:t>
      </w:r>
      <w:proofErr w:type="spellStart"/>
      <w:r w:rsidRPr="005507B9">
        <w:rPr>
          <w:rFonts w:asciiTheme="majorBidi" w:hAnsiTheme="majorBidi" w:cstheme="majorBidi"/>
        </w:rPr>
        <w:t>Mālik</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(r)</w:t>
      </w:r>
      <w:r w:rsidRPr="005507B9">
        <w:rPr>
          <w:rFonts w:asciiTheme="majorBidi" w:hAnsiTheme="majorBidi" w:cstheme="majorBidi"/>
        </w:rPr>
        <w:t>, al-</w:t>
      </w:r>
      <w:proofErr w:type="spellStart"/>
      <w:r w:rsidRPr="005507B9">
        <w:rPr>
          <w:rFonts w:asciiTheme="majorBidi" w:hAnsiTheme="majorBidi" w:cstheme="majorBidi"/>
        </w:rPr>
        <w:t>Layth</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(r)</w:t>
      </w:r>
      <w:r w:rsidRPr="005507B9">
        <w:rPr>
          <w:rFonts w:asciiTheme="majorBidi" w:hAnsiTheme="majorBidi" w:cstheme="majorBidi"/>
        </w:rPr>
        <w:t xml:space="preserve">, Abū </w:t>
      </w:r>
      <w:proofErr w:type="spellStart"/>
      <w:r w:rsidRPr="005507B9">
        <w:rPr>
          <w:rFonts w:asciiTheme="majorBidi" w:hAnsiTheme="majorBidi" w:cstheme="majorBidi"/>
        </w:rPr>
        <w:t>Ḥanīfah</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(r)</w:t>
      </w:r>
      <w:r w:rsidRPr="005507B9">
        <w:rPr>
          <w:rFonts w:asciiTheme="majorBidi" w:hAnsiTheme="majorBidi" w:cstheme="majorBidi"/>
        </w:rPr>
        <w:t xml:space="preserve">, </w:t>
      </w:r>
      <w:proofErr w:type="spellStart"/>
      <w:r w:rsidRPr="005507B9">
        <w:rPr>
          <w:rFonts w:asciiTheme="majorBidi" w:hAnsiTheme="majorBidi" w:cstheme="majorBidi"/>
        </w:rPr>
        <w:t>ath-Thawrī</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(r)</w:t>
      </w:r>
      <w:r w:rsidRPr="005507B9">
        <w:rPr>
          <w:rFonts w:asciiTheme="majorBidi" w:hAnsiTheme="majorBidi" w:cstheme="majorBidi"/>
        </w:rPr>
        <w:t xml:space="preserve"> und die Mehrheit der frühen Gelehrten unter den </w:t>
      </w:r>
      <w:proofErr w:type="spellStart"/>
      <w:r w:rsidRPr="005507B9">
        <w:rPr>
          <w:rFonts w:asciiTheme="majorBidi" w:hAnsiTheme="majorBidi" w:cstheme="majorBidi"/>
        </w:rPr>
        <w:t>Ṣaḥābah</w:t>
      </w:r>
      <w:proofErr w:type="spellEnd"/>
      <w:r w:rsidRPr="005507B9">
        <w:rPr>
          <w:rFonts w:asciiTheme="majorBidi" w:hAnsiTheme="majorBidi" w:cstheme="majorBidi"/>
        </w:rPr>
        <w:t xml:space="preserve"> und </w:t>
      </w:r>
      <w:proofErr w:type="spellStart"/>
      <w:r w:rsidRPr="005507B9">
        <w:rPr>
          <w:rFonts w:asciiTheme="majorBidi" w:hAnsiTheme="majorBidi" w:cstheme="majorBidi"/>
        </w:rPr>
        <w:t>Tābiʿūn</w:t>
      </w:r>
      <w:proofErr w:type="spellEnd"/>
      <w:r w:rsidRPr="005507B9">
        <w:rPr>
          <w:rFonts w:asciiTheme="majorBidi" w:hAnsiTheme="majorBidi" w:cstheme="majorBidi"/>
        </w:rPr>
        <w:t xml:space="preserve"> vertreten die Auffassung, dass man diese beiden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nicht betet. Dies wird von </w:t>
      </w:r>
      <w:proofErr w:type="spellStart"/>
      <w:r w:rsidRPr="005507B9">
        <w:rPr>
          <w:rFonts w:asciiTheme="majorBidi" w:hAnsiTheme="majorBidi" w:cstheme="majorBidi"/>
        </w:rPr>
        <w:t>ʿUmar</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w:t>
      </w:r>
      <w:proofErr w:type="spellStart"/>
      <w:r w:rsidRPr="005507B9">
        <w:rPr>
          <w:rFonts w:asciiTheme="majorBidi" w:hAnsiTheme="majorBidi" w:cstheme="majorBidi"/>
          <w:vertAlign w:val="superscript"/>
        </w:rPr>
        <w:t>ra</w:t>
      </w:r>
      <w:proofErr w:type="spellEnd"/>
      <w:r w:rsidRPr="005507B9">
        <w:rPr>
          <w:rFonts w:asciiTheme="majorBidi" w:hAnsiTheme="majorBidi" w:cstheme="majorBidi"/>
          <w:vertAlign w:val="superscript"/>
        </w:rPr>
        <w:t>)</w:t>
      </w:r>
      <w:r w:rsidRPr="005507B9">
        <w:rPr>
          <w:rFonts w:asciiTheme="majorBidi" w:hAnsiTheme="majorBidi" w:cstheme="majorBidi"/>
        </w:rPr>
        <w:t xml:space="preserve">, </w:t>
      </w:r>
      <w:proofErr w:type="spellStart"/>
      <w:r w:rsidRPr="005507B9">
        <w:rPr>
          <w:rFonts w:asciiTheme="majorBidi" w:hAnsiTheme="majorBidi" w:cstheme="majorBidi"/>
        </w:rPr>
        <w:t>ʿUthmān</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w:t>
      </w:r>
      <w:proofErr w:type="spellStart"/>
      <w:proofErr w:type="gramStart"/>
      <w:r w:rsidRPr="005507B9">
        <w:rPr>
          <w:rFonts w:asciiTheme="majorBidi" w:hAnsiTheme="majorBidi" w:cstheme="majorBidi"/>
          <w:vertAlign w:val="superscript"/>
        </w:rPr>
        <w:t>ra</w:t>
      </w:r>
      <w:proofErr w:type="spellEnd"/>
      <w:r w:rsidRPr="005507B9">
        <w:rPr>
          <w:rFonts w:asciiTheme="majorBidi" w:hAnsiTheme="majorBidi" w:cstheme="majorBidi"/>
          <w:vertAlign w:val="superscript"/>
        </w:rPr>
        <w:t>)</w:t>
      </w:r>
      <w:r w:rsidRPr="005507B9">
        <w:rPr>
          <w:rFonts w:asciiTheme="majorBidi" w:hAnsiTheme="majorBidi" w:cstheme="majorBidi"/>
        </w:rPr>
        <w:t xml:space="preserve">  und</w:t>
      </w:r>
      <w:proofErr w:type="gramEnd"/>
      <w:r w:rsidRPr="005507B9">
        <w:rPr>
          <w:rFonts w:asciiTheme="majorBidi" w:hAnsiTheme="majorBidi" w:cstheme="majorBidi"/>
        </w:rPr>
        <w:t xml:space="preserve"> </w:t>
      </w:r>
      <w:proofErr w:type="spellStart"/>
      <w:r w:rsidRPr="005507B9">
        <w:rPr>
          <w:rFonts w:asciiTheme="majorBidi" w:hAnsiTheme="majorBidi" w:cstheme="majorBidi"/>
        </w:rPr>
        <w:t>ʿAlī</w:t>
      </w:r>
      <w:proofErr w:type="spellEnd"/>
      <w:r w:rsidRPr="005507B9">
        <w:rPr>
          <w:rFonts w:asciiTheme="majorBidi" w:hAnsiTheme="majorBidi" w:cstheme="majorBidi"/>
        </w:rPr>
        <w:t xml:space="preserve"> </w:t>
      </w:r>
      <w:r w:rsidRPr="005507B9">
        <w:rPr>
          <w:rFonts w:asciiTheme="majorBidi" w:hAnsiTheme="majorBidi" w:cstheme="majorBidi"/>
          <w:vertAlign w:val="superscript"/>
        </w:rPr>
        <w:t>(</w:t>
      </w:r>
      <w:proofErr w:type="spellStart"/>
      <w:r w:rsidRPr="005507B9">
        <w:rPr>
          <w:rFonts w:asciiTheme="majorBidi" w:hAnsiTheme="majorBidi" w:cstheme="majorBidi"/>
          <w:vertAlign w:val="superscript"/>
        </w:rPr>
        <w:t>ra</w:t>
      </w:r>
      <w:proofErr w:type="spellEnd"/>
      <w:r w:rsidRPr="005507B9">
        <w:rPr>
          <w:rFonts w:asciiTheme="majorBidi" w:hAnsiTheme="majorBidi" w:cstheme="majorBidi"/>
          <w:vertAlign w:val="superscript"/>
        </w:rPr>
        <w:t>)</w:t>
      </w:r>
      <w:r w:rsidRPr="005507B9">
        <w:rPr>
          <w:rFonts w:asciiTheme="majorBidi" w:hAnsiTheme="majorBidi" w:cstheme="majorBidi"/>
        </w:rPr>
        <w:t xml:space="preserve"> – möge </w:t>
      </w:r>
      <w:r>
        <w:rPr>
          <w:rFonts w:asciiTheme="majorBidi" w:hAnsiTheme="majorBidi" w:cstheme="majorBidi"/>
        </w:rPr>
        <w:t xml:space="preserve">ALLAAH </w:t>
      </w:r>
      <w:r w:rsidRPr="005507B9">
        <w:rPr>
          <w:rFonts w:asciiTheme="majorBidi" w:hAnsiTheme="majorBidi" w:cstheme="majorBidi"/>
        </w:rPr>
        <w:t>mit ihnen zufrieden sein – überliefert. Ihr Beweis ist der Befehl, dem Imam zuzuhören.</w:t>
      </w:r>
      <w:r>
        <w:rPr>
          <w:rFonts w:asciiTheme="majorBidi" w:hAnsiTheme="majorBidi" w:cstheme="majorBidi"/>
        </w:rPr>
        <w:t>“</w:t>
      </w:r>
      <w:r w:rsidRPr="00EE1041">
        <w:rPr>
          <w:rFonts w:asciiTheme="majorBidi" w:hAnsiTheme="majorBidi" w:cstheme="majorBidi"/>
          <w:vertAlign w:val="superscript"/>
        </w:rPr>
        <w:footnoteReference w:id="2"/>
      </w:r>
    </w:p>
    <w:p w14:paraId="0BD1DD01" w14:textId="77777777" w:rsidR="009021F0" w:rsidRPr="00E1327C" w:rsidRDefault="009021F0" w:rsidP="009021F0">
      <w:pPr>
        <w:spacing w:after="0"/>
        <w:rPr>
          <w:rFonts w:asciiTheme="majorBidi" w:hAnsiTheme="majorBidi" w:cstheme="majorBidi"/>
        </w:rPr>
      </w:pPr>
      <w:r>
        <w:rPr>
          <w:rFonts w:asciiTheme="majorBidi" w:hAnsiTheme="majorBidi" w:cstheme="majorBidi"/>
        </w:rPr>
        <w:lastRenderedPageBreak/>
        <w:br/>
      </w:r>
      <w:r w:rsidRPr="006F76DA">
        <w:rPr>
          <w:rFonts w:asciiTheme="majorBidi" w:hAnsiTheme="majorBidi" w:cstheme="majorBidi"/>
          <w:b/>
          <w:bCs/>
        </w:rPr>
        <w:t xml:space="preserve">Harmonisierung zugunsten des Zuhörens </w:t>
      </w:r>
      <w:r>
        <w:rPr>
          <w:rFonts w:asciiTheme="majorBidi" w:hAnsiTheme="majorBidi" w:cstheme="majorBidi"/>
          <w:b/>
          <w:bCs/>
        </w:rPr>
        <w:br/>
      </w:r>
      <w:r w:rsidRPr="001E5583">
        <w:rPr>
          <w:rFonts w:asciiTheme="majorBidi" w:hAnsiTheme="majorBidi" w:cstheme="majorBidi"/>
        </w:rPr>
        <w:t xml:space="preserve">Nach der </w:t>
      </w:r>
      <w:proofErr w:type="spellStart"/>
      <w:r w:rsidRPr="001E5583">
        <w:rPr>
          <w:rFonts w:asciiTheme="majorBidi" w:hAnsiTheme="majorBidi" w:cstheme="majorBidi"/>
        </w:rPr>
        <w:t>Hanafiyyah</w:t>
      </w:r>
      <w:proofErr w:type="spellEnd"/>
      <w:r w:rsidRPr="001E5583">
        <w:rPr>
          <w:rStyle w:val="Funotenzeichen"/>
          <w:rFonts w:asciiTheme="majorBidi" w:hAnsiTheme="majorBidi" w:cstheme="majorBidi"/>
        </w:rPr>
        <w:footnoteReference w:id="3"/>
      </w:r>
      <w:r w:rsidRPr="001E5583">
        <w:rPr>
          <w:rFonts w:asciiTheme="majorBidi" w:hAnsiTheme="majorBidi" w:cstheme="majorBidi"/>
        </w:rPr>
        <w:t xml:space="preserve"> und </w:t>
      </w:r>
      <w:proofErr w:type="spellStart"/>
      <w:r w:rsidRPr="001E5583">
        <w:rPr>
          <w:rFonts w:asciiTheme="majorBidi" w:hAnsiTheme="majorBidi" w:cstheme="majorBidi"/>
        </w:rPr>
        <w:t>Maalikiyyah</w:t>
      </w:r>
      <w:proofErr w:type="spellEnd"/>
      <w:r w:rsidRPr="001E5583">
        <w:rPr>
          <w:rFonts w:asciiTheme="majorBidi" w:hAnsiTheme="majorBidi" w:cstheme="majorBidi"/>
          <w:vertAlign w:val="superscript"/>
        </w:rPr>
        <w:t xml:space="preserve"> </w:t>
      </w:r>
      <w:r w:rsidRPr="001E5583">
        <w:rPr>
          <w:rFonts w:asciiTheme="majorBidi" w:hAnsiTheme="majorBidi" w:cstheme="majorBidi"/>
        </w:rPr>
        <w:t>ist es nicht erlaubt, während der Imam seine</w:t>
      </w:r>
      <w:r w:rsidRPr="00E1327C">
        <w:rPr>
          <w:rFonts w:asciiTheme="majorBidi" w:hAnsiTheme="majorBidi" w:cstheme="majorBidi"/>
        </w:rPr>
        <w:t xml:space="preserve"> </w:t>
      </w:r>
      <w:proofErr w:type="spellStart"/>
      <w:r w:rsidRPr="00E1327C">
        <w:rPr>
          <w:rFonts w:asciiTheme="majorBidi" w:hAnsiTheme="majorBidi" w:cstheme="majorBidi"/>
        </w:rPr>
        <w:t>Khuṭbah</w:t>
      </w:r>
      <w:proofErr w:type="spellEnd"/>
      <w:r w:rsidRPr="00E1327C">
        <w:rPr>
          <w:rFonts w:asciiTheme="majorBidi" w:hAnsiTheme="majorBidi" w:cstheme="majorBidi"/>
        </w:rPr>
        <w:t xml:space="preserve"> (Predigt) hält, irgendeine andere Handlung vorzunehmen</w:t>
      </w:r>
      <w:r>
        <w:rPr>
          <w:rFonts w:asciiTheme="majorBidi" w:hAnsiTheme="majorBidi" w:cstheme="majorBidi"/>
        </w:rPr>
        <w:t xml:space="preserve">, was das Moscheebegrüßungsgebet miteinschließt. Folgende Belege aus dem </w:t>
      </w:r>
      <w:proofErr w:type="spellStart"/>
      <w:r>
        <w:rPr>
          <w:rFonts w:asciiTheme="majorBidi" w:hAnsiTheme="majorBidi" w:cstheme="majorBidi"/>
        </w:rPr>
        <w:t>Quraan</w:t>
      </w:r>
      <w:proofErr w:type="spellEnd"/>
      <w:r>
        <w:rPr>
          <w:rFonts w:asciiTheme="majorBidi" w:hAnsiTheme="majorBidi" w:cstheme="majorBidi"/>
        </w:rPr>
        <w:t xml:space="preserve"> und der authentischen </w:t>
      </w:r>
      <w:proofErr w:type="spellStart"/>
      <w:r>
        <w:rPr>
          <w:rFonts w:asciiTheme="majorBidi" w:hAnsiTheme="majorBidi" w:cstheme="majorBidi"/>
        </w:rPr>
        <w:t>Sunnah</w:t>
      </w:r>
      <w:proofErr w:type="spellEnd"/>
      <w:r>
        <w:rPr>
          <w:rFonts w:asciiTheme="majorBidi" w:hAnsiTheme="majorBidi" w:cstheme="majorBidi"/>
        </w:rPr>
        <w:t xml:space="preserve"> werden für diese Einordnung herangeführt:</w:t>
      </w:r>
      <w:r>
        <w:rPr>
          <w:rFonts w:asciiTheme="majorBidi" w:hAnsiTheme="majorBidi" w:cstheme="majorBidi"/>
        </w:rPr>
        <w:br/>
      </w:r>
    </w:p>
    <w:p w14:paraId="0D181475" w14:textId="77777777" w:rsidR="009021F0" w:rsidRDefault="009021F0" w:rsidP="009021F0">
      <w:pPr>
        <w:spacing w:after="0"/>
        <w:jc w:val="center"/>
        <w:rPr>
          <w:rFonts w:ascii="Arabic Typesetting" w:hAnsi="Arabic Typesetting" w:cs="Arabic Typesetting"/>
          <w:sz w:val="36"/>
          <w:szCs w:val="36"/>
        </w:rPr>
      </w:pPr>
      <w:r w:rsidRPr="00E655E6">
        <w:rPr>
          <w:rFonts w:ascii="Arabic Typesetting" w:hAnsi="Arabic Typesetting" w:cs="Arabic Typesetting"/>
          <w:sz w:val="36"/>
          <w:szCs w:val="36"/>
          <w:rtl/>
        </w:rPr>
        <w:t>وَإِذَا قُرِئَ الْقُرْآنُ فَاسْتَمِعُوا لَهُ وَأَنْصِتُوا لَعَلَّكُمْ تُرْحَمُونَ</w:t>
      </w:r>
    </w:p>
    <w:p w14:paraId="6FD57C9B" w14:textId="77777777" w:rsidR="009021F0" w:rsidRDefault="009021F0" w:rsidP="009021F0">
      <w:pPr>
        <w:spacing w:after="0"/>
        <w:jc w:val="center"/>
        <w:rPr>
          <w:rFonts w:asciiTheme="majorBidi" w:hAnsiTheme="majorBidi" w:cstheme="majorBidi"/>
        </w:rPr>
      </w:pPr>
      <w:r w:rsidRPr="00E1327C">
        <w:rPr>
          <w:rFonts w:asciiTheme="majorBidi" w:hAnsiTheme="majorBidi" w:cstheme="majorBidi"/>
        </w:rPr>
        <w:t xml:space="preserve">„Und wenn der </w:t>
      </w:r>
      <w:proofErr w:type="spellStart"/>
      <w:r w:rsidRPr="00E1327C">
        <w:rPr>
          <w:rFonts w:asciiTheme="majorBidi" w:hAnsiTheme="majorBidi" w:cstheme="majorBidi"/>
        </w:rPr>
        <w:t>Qurʾān</w:t>
      </w:r>
      <w:proofErr w:type="spellEnd"/>
      <w:r w:rsidRPr="00E1327C">
        <w:rPr>
          <w:rFonts w:asciiTheme="majorBidi" w:hAnsiTheme="majorBidi" w:cstheme="majorBidi"/>
        </w:rPr>
        <w:t xml:space="preserve"> vorgetragen wird, dann hört ihm aufmerksam zu und schweigt, auf dass euch Barmherzigkeit erwiesen werde.“ (</w:t>
      </w:r>
      <w:r>
        <w:rPr>
          <w:rFonts w:asciiTheme="majorBidi" w:hAnsiTheme="majorBidi" w:cstheme="majorBidi"/>
        </w:rPr>
        <w:t>7:</w:t>
      </w:r>
      <w:r w:rsidRPr="00E1327C">
        <w:rPr>
          <w:rFonts w:asciiTheme="majorBidi" w:hAnsiTheme="majorBidi" w:cstheme="majorBidi"/>
        </w:rPr>
        <w:t>204)</w:t>
      </w:r>
      <w:r>
        <w:rPr>
          <w:rFonts w:asciiTheme="majorBidi" w:hAnsiTheme="majorBidi" w:cstheme="majorBidi"/>
        </w:rPr>
        <w:br/>
      </w:r>
    </w:p>
    <w:p w14:paraId="6C1A37AC" w14:textId="77777777" w:rsidR="009021F0" w:rsidRDefault="009021F0" w:rsidP="009021F0">
      <w:pPr>
        <w:spacing w:after="0"/>
        <w:rPr>
          <w:rFonts w:ascii="Times New Roman" w:hAnsi="Times New Roman" w:cs="Times New Roman"/>
        </w:rPr>
      </w:pPr>
      <w:r>
        <w:rPr>
          <w:rFonts w:asciiTheme="majorBidi" w:hAnsiTheme="majorBidi" w:cstheme="majorBidi"/>
        </w:rPr>
        <w:t xml:space="preserve">Abu </w:t>
      </w:r>
      <w:proofErr w:type="spellStart"/>
      <w:r>
        <w:rPr>
          <w:rFonts w:asciiTheme="majorBidi" w:hAnsiTheme="majorBidi" w:cstheme="majorBidi"/>
        </w:rPr>
        <w:t>Hurairyah</w:t>
      </w:r>
      <w:proofErr w:type="spellEnd"/>
      <w:r>
        <w:rPr>
          <w:rFonts w:asciiTheme="majorBidi" w:hAnsiTheme="majorBidi" w:cstheme="majorBidi"/>
        </w:rPr>
        <w:t xml:space="preserve"> überliefert, dass der </w:t>
      </w:r>
      <w:r w:rsidRPr="00086BF4">
        <w:rPr>
          <w:rFonts w:ascii="Times New Roman" w:hAnsi="Times New Roman" w:cs="Times New Roman"/>
        </w:rPr>
        <w:t xml:space="preserve">Gesandte ALLAAHs ﷺ </w:t>
      </w:r>
      <w:r>
        <w:rPr>
          <w:rFonts w:ascii="Times New Roman" w:hAnsi="Times New Roman" w:cs="Times New Roman"/>
        </w:rPr>
        <w:t xml:space="preserve">sagte: </w:t>
      </w:r>
      <w:r>
        <w:rPr>
          <w:rFonts w:ascii="Times New Roman" w:hAnsi="Times New Roman" w:cs="Times New Roman"/>
        </w:rPr>
        <w:br/>
      </w:r>
    </w:p>
    <w:p w14:paraId="44D6BAF1" w14:textId="77777777" w:rsidR="009021F0" w:rsidRDefault="009021F0" w:rsidP="009021F0">
      <w:pPr>
        <w:spacing w:after="0"/>
        <w:jc w:val="right"/>
        <w:rPr>
          <w:rFonts w:ascii="Arabic Typesetting" w:hAnsi="Arabic Typesetting" w:cs="Arabic Typesetting"/>
          <w:sz w:val="36"/>
          <w:szCs w:val="36"/>
        </w:rPr>
      </w:pPr>
      <w:r w:rsidRPr="001E5583">
        <w:rPr>
          <w:rFonts w:ascii="Arabic Typesetting" w:hAnsi="Arabic Typesetting" w:cs="Arabic Typesetting" w:hint="cs"/>
          <w:sz w:val="36"/>
          <w:szCs w:val="36"/>
          <w:rtl/>
        </w:rPr>
        <w:t>إِذَا</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قُلْتَ</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لِصَاحِبِكَ</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أَنْصِتْ</w:t>
      </w:r>
      <w:r w:rsidRPr="001E5583">
        <w:rPr>
          <w:rFonts w:ascii="Arabic Typesetting" w:hAnsi="Arabic Typesetting" w:cs="Arabic Typesetting"/>
          <w:sz w:val="36"/>
          <w:szCs w:val="36"/>
          <w:rtl/>
        </w:rPr>
        <w:t xml:space="preserve"> ‏.‏ </w:t>
      </w:r>
      <w:r w:rsidRPr="001E5583">
        <w:rPr>
          <w:rFonts w:ascii="Arabic Typesetting" w:hAnsi="Arabic Typesetting" w:cs="Arabic Typesetting" w:hint="cs"/>
          <w:sz w:val="36"/>
          <w:szCs w:val="36"/>
          <w:rtl/>
        </w:rPr>
        <w:t>يَوْمَ</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الْجُمُعَةِ</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وَالإِمَامُ</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يَخْطُبُ</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فَقَدْ</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لَغِيتَ</w:t>
      </w:r>
      <w:r w:rsidRPr="001E5583">
        <w:rPr>
          <w:rFonts w:ascii="Arabic Typesetting" w:hAnsi="Arabic Typesetting" w:cs="Arabic Typesetting"/>
          <w:sz w:val="36"/>
          <w:szCs w:val="36"/>
          <w:rtl/>
        </w:rPr>
        <w:t xml:space="preserve"> </w:t>
      </w:r>
      <w:r w:rsidRPr="001E5583">
        <w:rPr>
          <w:rFonts w:ascii="Arabic Typesetting" w:hAnsi="Arabic Typesetting" w:cs="Arabic Typesetting" w:hint="cs"/>
          <w:sz w:val="36"/>
          <w:szCs w:val="36"/>
          <w:rtl/>
        </w:rPr>
        <w:t>‏</w:t>
      </w:r>
      <w:r w:rsidRPr="001E5583">
        <w:rPr>
          <w:rFonts w:ascii="Arabic Typesetting" w:hAnsi="Arabic Typesetting" w:cs="Arabic Typesetting"/>
          <w:sz w:val="36"/>
          <w:szCs w:val="36"/>
          <w:rtl/>
        </w:rPr>
        <w:t xml:space="preserve">" ‏ </w:t>
      </w:r>
    </w:p>
    <w:p w14:paraId="7CCE9A52" w14:textId="77777777" w:rsidR="009021F0" w:rsidRPr="00A541DF" w:rsidRDefault="009021F0" w:rsidP="009021F0">
      <w:pPr>
        <w:spacing w:after="0"/>
        <w:rPr>
          <w:rFonts w:asciiTheme="majorBidi" w:hAnsiTheme="majorBidi" w:cstheme="majorBidi"/>
        </w:rPr>
      </w:pPr>
      <w:r w:rsidRPr="001E5583">
        <w:rPr>
          <w:rFonts w:asciiTheme="majorBidi" w:hAnsiTheme="majorBidi" w:cstheme="majorBidi"/>
        </w:rPr>
        <w:t xml:space="preserve">„Wenn du zu deinem Gefährten am Freitag sagst: ‚Sei still!‘, während der Imam die Predigt hält, dann hast du </w:t>
      </w:r>
      <w:proofErr w:type="spellStart"/>
      <w:r w:rsidRPr="001E5583">
        <w:rPr>
          <w:rFonts w:asciiTheme="majorBidi" w:hAnsiTheme="majorBidi" w:cstheme="majorBidi"/>
        </w:rPr>
        <w:t>Laghw</w:t>
      </w:r>
      <w:proofErr w:type="spellEnd"/>
      <w:r w:rsidRPr="001E5583">
        <w:rPr>
          <w:rFonts w:asciiTheme="majorBidi" w:hAnsiTheme="majorBidi" w:cstheme="majorBidi"/>
        </w:rPr>
        <w:t xml:space="preserve"> begangen.“</w:t>
      </w:r>
      <w:r>
        <w:rPr>
          <w:rFonts w:asciiTheme="majorBidi" w:hAnsiTheme="majorBidi" w:cstheme="majorBidi"/>
        </w:rPr>
        <w:br/>
      </w:r>
    </w:p>
    <w:p w14:paraId="1D0335C6" w14:textId="77777777" w:rsidR="009021F0" w:rsidRPr="001E5583" w:rsidRDefault="009021F0" w:rsidP="009021F0">
      <w:pPr>
        <w:spacing w:after="0"/>
        <w:jc w:val="right"/>
        <w:rPr>
          <w:rFonts w:ascii="Arabic Typesetting" w:hAnsi="Arabic Typesetting" w:cs="Arabic Typesetting"/>
          <w:sz w:val="36"/>
          <w:szCs w:val="36"/>
        </w:rPr>
      </w:pP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قَالَ</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أَبُو</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الزِّنَادِ</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هِيَ</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لُغَةُ</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أَبِي</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هُرَيْرَةَ</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وَإِنَّمَا</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هُوَ</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فَقَدْ</w:t>
      </w:r>
      <w:r w:rsidRPr="00A541DF">
        <w:rPr>
          <w:rFonts w:ascii="Arabic Typesetting" w:hAnsi="Arabic Typesetting" w:cs="Arabic Typesetting"/>
          <w:sz w:val="36"/>
          <w:szCs w:val="36"/>
          <w:rtl/>
        </w:rPr>
        <w:t xml:space="preserve"> </w:t>
      </w:r>
      <w:r w:rsidRPr="00A541DF">
        <w:rPr>
          <w:rFonts w:ascii="Arabic Typesetting" w:hAnsi="Arabic Typesetting" w:cs="Arabic Typesetting" w:hint="cs"/>
          <w:sz w:val="36"/>
          <w:szCs w:val="36"/>
          <w:rtl/>
        </w:rPr>
        <w:t>لَغَوْتَ</w:t>
      </w:r>
    </w:p>
    <w:p w14:paraId="1F32BBAF" w14:textId="77777777" w:rsidR="009021F0" w:rsidRPr="00E1327C" w:rsidRDefault="009021F0" w:rsidP="009021F0">
      <w:pPr>
        <w:spacing w:after="0"/>
        <w:rPr>
          <w:rFonts w:asciiTheme="majorBidi" w:hAnsiTheme="majorBidi" w:cstheme="majorBidi"/>
        </w:rPr>
      </w:pPr>
      <w:r w:rsidRPr="001E5583">
        <w:rPr>
          <w:rFonts w:asciiTheme="majorBidi" w:hAnsiTheme="majorBidi" w:cstheme="majorBidi"/>
        </w:rPr>
        <w:t xml:space="preserve">Abū </w:t>
      </w:r>
      <w:proofErr w:type="spellStart"/>
      <w:r w:rsidRPr="001E5583">
        <w:rPr>
          <w:rFonts w:asciiTheme="majorBidi" w:hAnsiTheme="majorBidi" w:cstheme="majorBidi"/>
        </w:rPr>
        <w:t>az-Zinād</w:t>
      </w:r>
      <w:proofErr w:type="spellEnd"/>
      <w:r w:rsidRPr="001E5583">
        <w:rPr>
          <w:rFonts w:asciiTheme="majorBidi" w:hAnsiTheme="majorBidi" w:cstheme="majorBidi"/>
        </w:rPr>
        <w:t xml:space="preserve"> sagte: „Dies ist die Ausdrucksweise von Abū </w:t>
      </w:r>
      <w:proofErr w:type="spellStart"/>
      <w:r w:rsidRPr="001E5583">
        <w:rPr>
          <w:rFonts w:asciiTheme="majorBidi" w:hAnsiTheme="majorBidi" w:cstheme="majorBidi"/>
        </w:rPr>
        <w:t>Hurayra</w:t>
      </w:r>
      <w:proofErr w:type="spellEnd"/>
      <w:r w:rsidRPr="001E5583">
        <w:rPr>
          <w:rFonts w:asciiTheme="majorBidi" w:hAnsiTheme="majorBidi" w:cstheme="majorBidi"/>
        </w:rPr>
        <w:t xml:space="preserve">. Eigentlich lautet es: ‚Dann hast du </w:t>
      </w:r>
      <w:proofErr w:type="spellStart"/>
      <w:r w:rsidRPr="001E5583">
        <w:rPr>
          <w:rFonts w:asciiTheme="majorBidi" w:hAnsiTheme="majorBidi" w:cstheme="majorBidi"/>
        </w:rPr>
        <w:t>laghawta</w:t>
      </w:r>
      <w:proofErr w:type="spellEnd"/>
      <w:r w:rsidRPr="001E5583">
        <w:rPr>
          <w:rFonts w:asciiTheme="majorBidi" w:hAnsiTheme="majorBidi" w:cstheme="majorBidi"/>
        </w:rPr>
        <w:t xml:space="preserve"> begangen.‘“</w:t>
      </w:r>
      <w:r w:rsidRPr="002054E2">
        <w:rPr>
          <w:rFonts w:asciiTheme="majorBidi" w:hAnsiTheme="majorBidi" w:cstheme="majorBidi"/>
        </w:rPr>
        <w:br/>
        <w:t>(</w:t>
      </w:r>
      <w:proofErr w:type="spellStart"/>
      <w:r w:rsidRPr="002054E2">
        <w:rPr>
          <w:rFonts w:asciiTheme="majorBidi" w:hAnsiTheme="majorBidi" w:cstheme="majorBidi"/>
        </w:rPr>
        <w:t>Sahih</w:t>
      </w:r>
      <w:proofErr w:type="spellEnd"/>
      <w:r w:rsidRPr="002054E2">
        <w:rPr>
          <w:rFonts w:asciiTheme="majorBidi" w:hAnsiTheme="majorBidi" w:cstheme="majorBidi"/>
        </w:rPr>
        <w:t xml:space="preserve"> Muslim 851d, in: sunnah.com/muslim:851d)</w:t>
      </w:r>
      <w:r w:rsidRPr="002054E2">
        <w:rPr>
          <w:rFonts w:asciiTheme="majorBidi" w:hAnsiTheme="majorBidi" w:cstheme="majorBidi"/>
        </w:rPr>
        <w:br/>
      </w:r>
      <w:r w:rsidRPr="002054E2">
        <w:rPr>
          <w:rFonts w:asciiTheme="majorBidi" w:hAnsiTheme="majorBidi" w:cstheme="majorBidi"/>
        </w:rPr>
        <w:br/>
      </w:r>
      <w:proofErr w:type="spellStart"/>
      <w:r w:rsidRPr="00E1327C">
        <w:rPr>
          <w:rFonts w:asciiTheme="majorBidi" w:hAnsiTheme="majorBidi" w:cstheme="majorBidi"/>
        </w:rPr>
        <w:t>Salmān</w:t>
      </w:r>
      <w:proofErr w:type="spellEnd"/>
      <w:r w:rsidRPr="00E1327C">
        <w:rPr>
          <w:rFonts w:asciiTheme="majorBidi" w:hAnsiTheme="majorBidi" w:cstheme="majorBidi"/>
        </w:rPr>
        <w:t xml:space="preserve"> al-</w:t>
      </w:r>
      <w:proofErr w:type="spellStart"/>
      <w:r w:rsidRPr="00E1327C">
        <w:rPr>
          <w:rFonts w:asciiTheme="majorBidi" w:hAnsiTheme="majorBidi" w:cstheme="majorBidi"/>
        </w:rPr>
        <w:t>Fāris</w:t>
      </w:r>
      <w:r>
        <w:rPr>
          <w:rFonts w:asciiTheme="majorBidi" w:hAnsiTheme="majorBidi" w:cstheme="majorBidi"/>
        </w:rPr>
        <w:t>iy</w:t>
      </w:r>
      <w:proofErr w:type="spellEnd"/>
      <w:r w:rsidRPr="00E1327C">
        <w:rPr>
          <w:rFonts w:asciiTheme="majorBidi" w:hAnsiTheme="majorBidi" w:cstheme="majorBidi"/>
        </w:rPr>
        <w:t xml:space="preserve"> </w:t>
      </w:r>
      <w:r w:rsidRPr="005507B9">
        <w:rPr>
          <w:rFonts w:asciiTheme="majorBidi" w:hAnsiTheme="majorBidi" w:cstheme="majorBidi"/>
          <w:vertAlign w:val="superscript"/>
        </w:rPr>
        <w:t>(</w:t>
      </w:r>
      <w:r w:rsidRPr="005507B9">
        <w:rPr>
          <w:rFonts w:asciiTheme="majorBidi" w:hAnsiTheme="majorBidi" w:cstheme="majorBidi" w:hint="cs"/>
          <w:vertAlign w:val="superscript"/>
          <w:rtl/>
        </w:rPr>
        <w:t>رضي الله عنه</w:t>
      </w:r>
      <w:r w:rsidRPr="005507B9">
        <w:rPr>
          <w:rFonts w:asciiTheme="majorBidi" w:hAnsiTheme="majorBidi" w:cstheme="majorBidi"/>
          <w:vertAlign w:val="superscript"/>
        </w:rPr>
        <w:t>)</w:t>
      </w:r>
      <w:r>
        <w:rPr>
          <w:rFonts w:asciiTheme="majorBidi" w:hAnsiTheme="majorBidi" w:cstheme="majorBidi"/>
          <w:vertAlign w:val="superscript"/>
        </w:rPr>
        <w:t xml:space="preserve"> </w:t>
      </w:r>
      <w:r w:rsidRPr="00E1327C">
        <w:rPr>
          <w:rFonts w:asciiTheme="majorBidi" w:hAnsiTheme="majorBidi" w:cstheme="majorBidi"/>
        </w:rPr>
        <w:t>berichtet:</w:t>
      </w:r>
      <w:r>
        <w:rPr>
          <w:rFonts w:asciiTheme="majorBidi" w:hAnsiTheme="majorBidi" w:cstheme="majorBidi"/>
        </w:rPr>
        <w:br/>
      </w:r>
    </w:p>
    <w:p w14:paraId="7856D860" w14:textId="77777777" w:rsidR="009021F0" w:rsidRPr="0016242B" w:rsidRDefault="009021F0" w:rsidP="009021F0">
      <w:pPr>
        <w:spacing w:after="0"/>
        <w:jc w:val="right"/>
        <w:rPr>
          <w:rFonts w:ascii="Arabic Typesetting" w:hAnsi="Arabic Typesetting" w:cs="Arabic Typesetting"/>
          <w:sz w:val="36"/>
          <w:szCs w:val="36"/>
        </w:rPr>
      </w:pPr>
      <w:r w:rsidRPr="0016242B">
        <w:rPr>
          <w:rFonts w:ascii="Arabic Typesetting" w:hAnsi="Arabic Typesetting" w:cs="Arabic Typesetting"/>
          <w:sz w:val="36"/>
          <w:szCs w:val="36"/>
          <w:rtl/>
        </w:rPr>
        <w:t>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p>
    <w:p w14:paraId="36B7D6BB" w14:textId="77777777" w:rsidR="009021F0" w:rsidRDefault="009021F0" w:rsidP="009021F0">
      <w:pPr>
        <w:spacing w:after="0"/>
        <w:rPr>
          <w:rFonts w:asciiTheme="majorBidi" w:hAnsiTheme="majorBidi" w:cstheme="majorBidi"/>
        </w:rPr>
      </w:pPr>
      <w:r w:rsidRPr="00E1327C">
        <w:rPr>
          <w:rFonts w:asciiTheme="majorBidi" w:hAnsiTheme="majorBidi" w:cstheme="majorBidi"/>
        </w:rPr>
        <w:t>„Der Proph</w:t>
      </w:r>
      <w:r>
        <w:rPr>
          <w:rFonts w:asciiTheme="majorBidi" w:hAnsiTheme="majorBidi" w:cstheme="majorBidi"/>
        </w:rPr>
        <w:t>et</w:t>
      </w:r>
      <w:bookmarkStart w:id="0" w:name="_Hlk230699081"/>
      <w:r w:rsidRPr="005507B9">
        <w:rPr>
          <w:rFonts w:ascii="Times New Roman" w:hAnsi="Times New Roman" w:cs="Times New Roman"/>
          <w:rtl/>
        </w:rPr>
        <w:t xml:space="preserve"> </w:t>
      </w:r>
      <w:r w:rsidRPr="005507B9">
        <w:rPr>
          <w:rFonts w:asciiTheme="majorBidi" w:hAnsiTheme="majorBidi" w:cstheme="majorBidi"/>
          <w:rtl/>
        </w:rPr>
        <w:t>ﷺ</w:t>
      </w:r>
      <w:bookmarkEnd w:id="0"/>
      <w:r w:rsidRPr="00E1327C">
        <w:rPr>
          <w:rFonts w:asciiTheme="majorBidi" w:hAnsiTheme="majorBidi" w:cstheme="majorBidi"/>
          <w:rtl/>
        </w:rPr>
        <w:t xml:space="preserve"> </w:t>
      </w:r>
      <w:r w:rsidRPr="00E1327C">
        <w:rPr>
          <w:rFonts w:asciiTheme="majorBidi" w:hAnsiTheme="majorBidi" w:cstheme="majorBidi"/>
        </w:rPr>
        <w:t>sagte: „Wenn ein Mann am Freitag die Ganzkörperwaschung (</w:t>
      </w:r>
      <w:proofErr w:type="spellStart"/>
      <w:r w:rsidRPr="00E1327C">
        <w:rPr>
          <w:rFonts w:asciiTheme="majorBidi" w:hAnsiTheme="majorBidi" w:cstheme="majorBidi"/>
        </w:rPr>
        <w:t>Ghusl</w:t>
      </w:r>
      <w:proofErr w:type="spellEnd"/>
      <w:r w:rsidRPr="00E1327C">
        <w:rPr>
          <w:rFonts w:asciiTheme="majorBidi" w:hAnsiTheme="majorBidi" w:cstheme="majorBidi"/>
        </w:rPr>
        <w:t xml:space="preserve">) vollzieht, sich so gut reinigt, wie er kann, Öl aufträgt oder einen Duft aus seinem Haus verwendet; anschließend zur Moschee geht und sich nicht zwischen zwei Menschen drängt; dann so viel betet, wie </w:t>
      </w:r>
      <w:r>
        <w:rPr>
          <w:rFonts w:asciiTheme="majorBidi" w:hAnsiTheme="majorBidi" w:cstheme="majorBidi"/>
        </w:rPr>
        <w:t xml:space="preserve">ALLAAH </w:t>
      </w:r>
      <w:r w:rsidRPr="00E1327C">
        <w:rPr>
          <w:rFonts w:asciiTheme="majorBidi" w:hAnsiTheme="majorBidi" w:cstheme="majorBidi"/>
        </w:rPr>
        <w:t xml:space="preserve">für ihn bestimmt hat; und anschließend schweigt, wenn der Imam spricht, dann werden ihm die Sünden zwischen diesem Freitag und dem nächsten Freitag vergeben.“ </w:t>
      </w:r>
      <w:r>
        <w:rPr>
          <w:rFonts w:asciiTheme="majorBidi" w:hAnsiTheme="majorBidi" w:cstheme="majorBidi"/>
        </w:rPr>
        <w:t>(</w:t>
      </w:r>
      <w:proofErr w:type="spellStart"/>
      <w:r w:rsidRPr="00722F03">
        <w:rPr>
          <w:rFonts w:asciiTheme="majorBidi" w:hAnsiTheme="majorBidi" w:cstheme="majorBidi"/>
        </w:rPr>
        <w:t>Sahih</w:t>
      </w:r>
      <w:proofErr w:type="spellEnd"/>
      <w:r w:rsidRPr="00722F03">
        <w:rPr>
          <w:rFonts w:asciiTheme="majorBidi" w:hAnsiTheme="majorBidi" w:cstheme="majorBidi"/>
        </w:rPr>
        <w:t xml:space="preserve"> al-</w:t>
      </w:r>
      <w:proofErr w:type="spellStart"/>
      <w:r w:rsidRPr="00722F03">
        <w:rPr>
          <w:rFonts w:asciiTheme="majorBidi" w:hAnsiTheme="majorBidi" w:cstheme="majorBidi"/>
        </w:rPr>
        <w:t>Bukhari</w:t>
      </w:r>
      <w:proofErr w:type="spellEnd"/>
      <w:r w:rsidRPr="00722F03">
        <w:rPr>
          <w:rFonts w:asciiTheme="majorBidi" w:hAnsiTheme="majorBidi" w:cstheme="majorBidi"/>
        </w:rPr>
        <w:t xml:space="preserve"> 883</w:t>
      </w:r>
      <w:r>
        <w:rPr>
          <w:rFonts w:asciiTheme="majorBidi" w:hAnsiTheme="majorBidi" w:cstheme="majorBidi"/>
        </w:rPr>
        <w:t xml:space="preserve">, in: </w:t>
      </w:r>
      <w:r w:rsidRPr="00722F03">
        <w:rPr>
          <w:rFonts w:asciiTheme="majorBidi" w:hAnsiTheme="majorBidi" w:cstheme="majorBidi"/>
        </w:rPr>
        <w:t>sunnah.com/bukhari:883</w:t>
      </w:r>
      <w:r>
        <w:rPr>
          <w:rFonts w:asciiTheme="majorBidi" w:hAnsiTheme="majorBidi" w:cstheme="majorBidi"/>
        </w:rPr>
        <w:t>)</w:t>
      </w:r>
    </w:p>
    <w:p w14:paraId="45B5A783" w14:textId="77777777" w:rsidR="009021F0" w:rsidRDefault="009021F0" w:rsidP="009021F0">
      <w:pPr>
        <w:spacing w:after="0"/>
        <w:rPr>
          <w:rFonts w:asciiTheme="majorBidi" w:hAnsiTheme="majorBidi" w:cstheme="majorBidi"/>
          <w:b/>
          <w:bCs/>
        </w:rPr>
      </w:pPr>
    </w:p>
    <w:p w14:paraId="64E835CA" w14:textId="77777777" w:rsidR="009021F0" w:rsidRPr="00E1327C" w:rsidRDefault="009021F0" w:rsidP="009021F0">
      <w:pPr>
        <w:spacing w:after="0"/>
        <w:rPr>
          <w:rFonts w:asciiTheme="majorBidi" w:hAnsiTheme="majorBidi" w:cstheme="majorBidi"/>
        </w:rPr>
      </w:pPr>
      <w:r w:rsidRPr="006F76DA">
        <w:rPr>
          <w:rFonts w:asciiTheme="majorBidi" w:hAnsiTheme="majorBidi" w:cstheme="majorBidi"/>
          <w:b/>
          <w:bCs/>
        </w:rPr>
        <w:t xml:space="preserve">Harmonisierung zugunsten des Moscheebegrüßungsgebet </w:t>
      </w:r>
      <w:r w:rsidRPr="006F76DA">
        <w:rPr>
          <w:rFonts w:asciiTheme="majorBidi" w:hAnsiTheme="majorBidi" w:cstheme="majorBidi"/>
          <w:b/>
          <w:bCs/>
        </w:rPr>
        <w:br/>
      </w:r>
      <w:r w:rsidRPr="001E5583">
        <w:rPr>
          <w:rFonts w:asciiTheme="majorBidi" w:hAnsiTheme="majorBidi" w:cstheme="majorBidi"/>
        </w:rPr>
        <w:t xml:space="preserve">Nach der </w:t>
      </w:r>
      <w:proofErr w:type="spellStart"/>
      <w:r w:rsidRPr="001E5583">
        <w:rPr>
          <w:rFonts w:asciiTheme="majorBidi" w:hAnsiTheme="majorBidi" w:cstheme="majorBidi"/>
        </w:rPr>
        <w:t>Schaafi`iyyah</w:t>
      </w:r>
      <w:proofErr w:type="spellEnd"/>
      <w:r w:rsidRPr="001E5583">
        <w:rPr>
          <w:rFonts w:asciiTheme="majorBidi" w:hAnsiTheme="majorBidi" w:cstheme="majorBidi"/>
        </w:rPr>
        <w:t xml:space="preserve"> und </w:t>
      </w:r>
      <w:proofErr w:type="spellStart"/>
      <w:r w:rsidRPr="001E5583">
        <w:rPr>
          <w:rFonts w:asciiTheme="majorBidi" w:hAnsiTheme="majorBidi" w:cstheme="majorBidi"/>
        </w:rPr>
        <w:t>Hanaabilah</w:t>
      </w:r>
      <w:proofErr w:type="spellEnd"/>
      <w:r w:rsidRPr="001E5583">
        <w:rPr>
          <w:rFonts w:asciiTheme="majorBidi" w:hAnsiTheme="majorBidi" w:cstheme="majorBidi"/>
        </w:rPr>
        <w:t xml:space="preserve"> ist es einer Person hingegen erlaubt, während der</w:t>
      </w:r>
      <w:r w:rsidRPr="00E1327C">
        <w:rPr>
          <w:rFonts w:asciiTheme="majorBidi" w:hAnsiTheme="majorBidi" w:cstheme="majorBidi"/>
        </w:rPr>
        <w:t xml:space="preserve"> </w:t>
      </w:r>
      <w:r>
        <w:rPr>
          <w:rFonts w:asciiTheme="majorBidi" w:hAnsiTheme="majorBidi" w:cstheme="majorBidi"/>
        </w:rPr>
        <w:t>Freitagspredigt</w:t>
      </w:r>
      <w:r w:rsidRPr="00E1327C">
        <w:rPr>
          <w:rFonts w:asciiTheme="majorBidi" w:hAnsiTheme="majorBidi" w:cstheme="majorBidi"/>
        </w:rPr>
        <w:t xml:space="preserve"> das </w:t>
      </w:r>
      <w:proofErr w:type="spellStart"/>
      <w:r w:rsidRPr="00E1327C">
        <w:rPr>
          <w:rFonts w:asciiTheme="majorBidi" w:hAnsiTheme="majorBidi" w:cstheme="majorBidi"/>
        </w:rPr>
        <w:t>Taḥiyyat</w:t>
      </w:r>
      <w:proofErr w:type="spellEnd"/>
      <w:r w:rsidRPr="00E1327C">
        <w:rPr>
          <w:rFonts w:asciiTheme="majorBidi" w:hAnsiTheme="majorBidi" w:cstheme="majorBidi"/>
        </w:rPr>
        <w:t xml:space="preserve"> al-</w:t>
      </w:r>
      <w:proofErr w:type="spellStart"/>
      <w:r w:rsidRPr="00E1327C">
        <w:rPr>
          <w:rFonts w:asciiTheme="majorBidi" w:hAnsiTheme="majorBidi" w:cstheme="majorBidi"/>
        </w:rPr>
        <w:t>Masǧid</w:t>
      </w:r>
      <w:proofErr w:type="spellEnd"/>
      <w:r w:rsidRPr="00E1327C">
        <w:rPr>
          <w:rFonts w:asciiTheme="majorBidi" w:hAnsiTheme="majorBidi" w:cstheme="majorBidi"/>
        </w:rPr>
        <w:t xml:space="preserve"> (das Gebet zur Begrüßung der Moschee) zu verrichten</w:t>
      </w:r>
      <w:r>
        <w:rPr>
          <w:rFonts w:asciiTheme="majorBidi" w:hAnsiTheme="majorBidi" w:cstheme="majorBidi"/>
        </w:rPr>
        <w:t xml:space="preserve">, wobei die folgende Begebenheit mitsamt dem Wortlaut als Beleg dafür verstanden wird: </w:t>
      </w:r>
      <w:proofErr w:type="spellStart"/>
      <w:r>
        <w:rPr>
          <w:rFonts w:asciiTheme="majorBidi" w:hAnsiTheme="majorBidi" w:cstheme="majorBidi"/>
        </w:rPr>
        <w:t>Dschaabir</w:t>
      </w:r>
      <w:proofErr w:type="spellEnd"/>
      <w:r w:rsidRPr="00E1327C">
        <w:rPr>
          <w:rFonts w:asciiTheme="majorBidi" w:hAnsiTheme="majorBidi" w:cstheme="majorBidi"/>
        </w:rPr>
        <w:t xml:space="preserve"> </w:t>
      </w:r>
      <w:r w:rsidRPr="005507B9">
        <w:rPr>
          <w:rFonts w:asciiTheme="majorBidi" w:hAnsiTheme="majorBidi" w:cstheme="majorBidi"/>
          <w:vertAlign w:val="superscript"/>
        </w:rPr>
        <w:t>(</w:t>
      </w:r>
      <w:r w:rsidRPr="005507B9">
        <w:rPr>
          <w:rFonts w:asciiTheme="majorBidi" w:hAnsiTheme="majorBidi" w:cstheme="majorBidi" w:hint="cs"/>
          <w:vertAlign w:val="superscript"/>
          <w:rtl/>
        </w:rPr>
        <w:t>رضي الله عنه</w:t>
      </w:r>
      <w:r w:rsidRPr="005507B9">
        <w:rPr>
          <w:rFonts w:asciiTheme="majorBidi" w:hAnsiTheme="majorBidi" w:cstheme="majorBidi"/>
          <w:vertAlign w:val="superscript"/>
        </w:rPr>
        <w:t>)</w:t>
      </w:r>
      <w:r>
        <w:rPr>
          <w:rFonts w:asciiTheme="majorBidi" w:hAnsiTheme="majorBidi" w:cstheme="majorBidi"/>
          <w:vertAlign w:val="superscript"/>
        </w:rPr>
        <w:t xml:space="preserve"> </w:t>
      </w:r>
      <w:r w:rsidRPr="00E1327C">
        <w:rPr>
          <w:rFonts w:asciiTheme="majorBidi" w:hAnsiTheme="majorBidi" w:cstheme="majorBidi"/>
        </w:rPr>
        <w:t>berichtet:</w:t>
      </w:r>
    </w:p>
    <w:p w14:paraId="3B64611F" w14:textId="77777777" w:rsidR="009021F0" w:rsidRPr="00E1327C" w:rsidRDefault="009021F0" w:rsidP="009021F0">
      <w:pPr>
        <w:spacing w:after="0"/>
        <w:rPr>
          <w:rFonts w:asciiTheme="majorBidi" w:hAnsiTheme="majorBidi" w:cstheme="majorBidi"/>
        </w:rPr>
      </w:pPr>
    </w:p>
    <w:p w14:paraId="14EEBAD4" w14:textId="77777777" w:rsidR="009021F0" w:rsidRPr="0016242B" w:rsidRDefault="009021F0" w:rsidP="009021F0">
      <w:pPr>
        <w:spacing w:after="0"/>
        <w:jc w:val="right"/>
        <w:rPr>
          <w:rFonts w:ascii="Arabic Typesetting" w:hAnsi="Arabic Typesetting" w:cs="Arabic Typesetting"/>
          <w:sz w:val="36"/>
          <w:szCs w:val="36"/>
        </w:rPr>
      </w:pPr>
      <w:r w:rsidRPr="0016242B">
        <w:rPr>
          <w:rFonts w:ascii="Arabic Typesetting" w:hAnsi="Arabic Typesetting" w:cs="Arabic Typesetting" w:hint="cs"/>
          <w:sz w:val="36"/>
          <w:szCs w:val="36"/>
          <w:rtl/>
        </w:rPr>
        <w:lastRenderedPageBreak/>
        <w:t>جاء سليك الغطفاني يوم الجمعة، ورسول الله صلى الله عليه وسلم يخطب، فجلس، فقال له: «يا سليك قم فاركع ركعتين، وتجوز فيهما» ثم قال: «إذا جاء أحدكم يوم الجمعة، والإمام يخطب، فليركع ركعتين، وليتجوز فيهما</w:t>
      </w:r>
      <w:r w:rsidRPr="0016242B">
        <w:rPr>
          <w:rFonts w:ascii="Arabic Typesetting" w:hAnsi="Arabic Typesetting" w:cs="Arabic Typesetting" w:hint="cs"/>
          <w:sz w:val="36"/>
          <w:szCs w:val="36"/>
        </w:rPr>
        <w:t>»</w:t>
      </w:r>
    </w:p>
    <w:p w14:paraId="25822551" w14:textId="77777777" w:rsidR="009021F0" w:rsidRPr="00722F03" w:rsidRDefault="009021F0" w:rsidP="009021F0">
      <w:pPr>
        <w:spacing w:after="0"/>
        <w:rPr>
          <w:rFonts w:asciiTheme="majorBidi" w:hAnsiTheme="majorBidi" w:cstheme="majorBidi"/>
          <w:lang w:val="en-US"/>
        </w:rPr>
      </w:pPr>
      <w:r>
        <w:rPr>
          <w:rFonts w:asciiTheme="majorBidi" w:hAnsiTheme="majorBidi" w:cstheme="majorBidi"/>
        </w:rPr>
        <w:t>„</w:t>
      </w:r>
      <w:proofErr w:type="spellStart"/>
      <w:r w:rsidRPr="00E1327C">
        <w:rPr>
          <w:rFonts w:asciiTheme="majorBidi" w:hAnsiTheme="majorBidi" w:cstheme="majorBidi"/>
        </w:rPr>
        <w:t>Sulaik</w:t>
      </w:r>
      <w:proofErr w:type="spellEnd"/>
      <w:r w:rsidRPr="00E1327C">
        <w:rPr>
          <w:rFonts w:asciiTheme="majorBidi" w:hAnsiTheme="majorBidi" w:cstheme="majorBidi"/>
        </w:rPr>
        <w:t xml:space="preserve"> al-</w:t>
      </w:r>
      <w:proofErr w:type="spellStart"/>
      <w:r w:rsidRPr="00E1327C">
        <w:rPr>
          <w:rFonts w:asciiTheme="majorBidi" w:hAnsiTheme="majorBidi" w:cstheme="majorBidi"/>
        </w:rPr>
        <w:t>Ġaṭafānī</w:t>
      </w:r>
      <w:proofErr w:type="spellEnd"/>
      <w:r w:rsidRPr="00E1327C">
        <w:rPr>
          <w:rFonts w:asciiTheme="majorBidi" w:hAnsiTheme="majorBidi" w:cstheme="majorBidi"/>
        </w:rPr>
        <w:t xml:space="preserve"> </w:t>
      </w:r>
      <w:r w:rsidRPr="005507B9">
        <w:rPr>
          <w:rFonts w:asciiTheme="majorBidi" w:hAnsiTheme="majorBidi" w:cstheme="majorBidi"/>
          <w:vertAlign w:val="superscript"/>
        </w:rPr>
        <w:t>(</w:t>
      </w:r>
      <w:proofErr w:type="spellStart"/>
      <w:r w:rsidRPr="005507B9">
        <w:rPr>
          <w:rFonts w:asciiTheme="majorBidi" w:hAnsiTheme="majorBidi" w:cstheme="majorBidi"/>
          <w:vertAlign w:val="superscript"/>
        </w:rPr>
        <w:t>ra</w:t>
      </w:r>
      <w:proofErr w:type="spellEnd"/>
      <w:r w:rsidRPr="005507B9">
        <w:rPr>
          <w:rFonts w:asciiTheme="majorBidi" w:hAnsiTheme="majorBidi" w:cstheme="majorBidi"/>
          <w:vertAlign w:val="superscript"/>
        </w:rPr>
        <w:t>)</w:t>
      </w:r>
      <w:r w:rsidRPr="005507B9">
        <w:rPr>
          <w:rFonts w:asciiTheme="majorBidi" w:hAnsiTheme="majorBidi" w:cstheme="majorBidi"/>
        </w:rPr>
        <w:t xml:space="preserve"> </w:t>
      </w:r>
      <w:r w:rsidRPr="00E1327C">
        <w:rPr>
          <w:rFonts w:asciiTheme="majorBidi" w:hAnsiTheme="majorBidi" w:cstheme="majorBidi"/>
        </w:rPr>
        <w:t xml:space="preserve">kam an einem Freitag in die Moschee, während der Gesandte </w:t>
      </w:r>
      <w:proofErr w:type="gramStart"/>
      <w:r w:rsidRPr="00E1327C">
        <w:rPr>
          <w:rFonts w:asciiTheme="majorBidi" w:hAnsiTheme="majorBidi" w:cstheme="majorBidi"/>
        </w:rPr>
        <w:t>Allahs</w:t>
      </w:r>
      <w:r w:rsidRPr="00D46BEA">
        <w:rPr>
          <w:rFonts w:ascii="Times New Roman" w:hAnsi="Times New Roman" w:cs="Times New Roman"/>
          <w:rtl/>
        </w:rPr>
        <w:t xml:space="preserve"> </w:t>
      </w:r>
      <w:r>
        <w:rPr>
          <w:rFonts w:asciiTheme="majorBidi" w:hAnsiTheme="majorBidi" w:cstheme="majorBidi"/>
        </w:rPr>
        <w:t xml:space="preserve"> </w:t>
      </w:r>
      <w:r w:rsidRPr="00D46BEA">
        <w:rPr>
          <w:rFonts w:asciiTheme="majorBidi" w:hAnsiTheme="majorBidi" w:cstheme="majorBidi"/>
          <w:rtl/>
        </w:rPr>
        <w:t>ﷺ</w:t>
      </w:r>
      <w:proofErr w:type="gramEnd"/>
      <w:r w:rsidRPr="00D46BEA">
        <w:rPr>
          <w:rFonts w:asciiTheme="majorBidi" w:hAnsiTheme="majorBidi" w:cstheme="majorBidi"/>
        </w:rPr>
        <w:t xml:space="preserve"> </w:t>
      </w:r>
      <w:r>
        <w:rPr>
          <w:rFonts w:asciiTheme="majorBidi" w:hAnsiTheme="majorBidi" w:cstheme="majorBidi"/>
        </w:rPr>
        <w:t>d</w:t>
      </w:r>
      <w:r w:rsidRPr="00E1327C">
        <w:rPr>
          <w:rFonts w:asciiTheme="majorBidi" w:hAnsiTheme="majorBidi" w:cstheme="majorBidi"/>
        </w:rPr>
        <w:t xml:space="preserve">ie Predigt hielt. Er setzte sich hin. Da sagte er zu ihm: „O </w:t>
      </w:r>
      <w:proofErr w:type="spellStart"/>
      <w:r w:rsidRPr="00E1327C">
        <w:rPr>
          <w:rFonts w:asciiTheme="majorBidi" w:hAnsiTheme="majorBidi" w:cstheme="majorBidi"/>
        </w:rPr>
        <w:t>Sulaik</w:t>
      </w:r>
      <w:proofErr w:type="spellEnd"/>
      <w:r w:rsidRPr="00E1327C">
        <w:rPr>
          <w:rFonts w:asciiTheme="majorBidi" w:hAnsiTheme="majorBidi" w:cstheme="majorBidi"/>
        </w:rPr>
        <w:t xml:space="preserve">, steh auf, bete zwei </w:t>
      </w:r>
      <w:proofErr w:type="spellStart"/>
      <w:r w:rsidRPr="00E1327C">
        <w:rPr>
          <w:rFonts w:asciiTheme="majorBidi" w:hAnsiTheme="majorBidi" w:cstheme="majorBidi"/>
        </w:rPr>
        <w:t>Rakʿah</w:t>
      </w:r>
      <w:proofErr w:type="spellEnd"/>
      <w:r w:rsidRPr="00E1327C">
        <w:rPr>
          <w:rFonts w:asciiTheme="majorBidi" w:hAnsiTheme="majorBidi" w:cstheme="majorBidi"/>
        </w:rPr>
        <w:t xml:space="preserve"> und halte sie kurz.“ Anschließend sagte der Gesandte Allahs </w:t>
      </w:r>
      <w:r w:rsidRPr="00E1327C">
        <w:rPr>
          <w:rFonts w:asciiTheme="majorBidi" w:hAnsiTheme="majorBidi" w:cstheme="majorBidi"/>
          <w:rtl/>
        </w:rPr>
        <w:t>ﷺ</w:t>
      </w:r>
      <w:r w:rsidRPr="00E1327C">
        <w:rPr>
          <w:rFonts w:asciiTheme="majorBidi" w:hAnsiTheme="majorBidi" w:cstheme="majorBidi"/>
        </w:rPr>
        <w:t xml:space="preserve">: „Wenn einer von euch am Freitag zur Moschee kommt, während der Imam die </w:t>
      </w:r>
      <w:proofErr w:type="spellStart"/>
      <w:r w:rsidRPr="00E1327C">
        <w:rPr>
          <w:rFonts w:asciiTheme="majorBidi" w:hAnsiTheme="majorBidi" w:cstheme="majorBidi"/>
        </w:rPr>
        <w:t>Khuṭbah</w:t>
      </w:r>
      <w:proofErr w:type="spellEnd"/>
      <w:r w:rsidRPr="00E1327C">
        <w:rPr>
          <w:rFonts w:asciiTheme="majorBidi" w:hAnsiTheme="majorBidi" w:cstheme="majorBidi"/>
        </w:rPr>
        <w:t xml:space="preserve"> hält, dann soll er zwei </w:t>
      </w:r>
      <w:proofErr w:type="spellStart"/>
      <w:r w:rsidRPr="00E1327C">
        <w:rPr>
          <w:rFonts w:asciiTheme="majorBidi" w:hAnsiTheme="majorBidi" w:cstheme="majorBidi"/>
        </w:rPr>
        <w:t>Rakʿah</w:t>
      </w:r>
      <w:proofErr w:type="spellEnd"/>
      <w:r w:rsidRPr="00E1327C">
        <w:rPr>
          <w:rFonts w:asciiTheme="majorBidi" w:hAnsiTheme="majorBidi" w:cstheme="majorBidi"/>
        </w:rPr>
        <w:t xml:space="preserve"> beten und sie kurzhalten.“ </w:t>
      </w:r>
      <w:r>
        <w:rPr>
          <w:rFonts w:asciiTheme="majorBidi" w:hAnsiTheme="majorBidi" w:cstheme="majorBidi"/>
        </w:rPr>
        <w:t xml:space="preserve"> </w:t>
      </w:r>
      <w:r w:rsidRPr="00722F03">
        <w:rPr>
          <w:rFonts w:asciiTheme="majorBidi" w:hAnsiTheme="majorBidi" w:cstheme="majorBidi"/>
          <w:lang w:val="en-US"/>
        </w:rPr>
        <w:t>(</w:t>
      </w:r>
      <w:proofErr w:type="spellStart"/>
      <w:r w:rsidRPr="00722F03">
        <w:rPr>
          <w:rFonts w:asciiTheme="majorBidi" w:hAnsiTheme="majorBidi" w:cstheme="majorBidi"/>
          <w:lang w:val="en-US"/>
        </w:rPr>
        <w:t>Ṣaḥīḥ</w:t>
      </w:r>
      <w:proofErr w:type="spellEnd"/>
      <w:r w:rsidRPr="00722F03">
        <w:rPr>
          <w:rFonts w:asciiTheme="majorBidi" w:hAnsiTheme="majorBidi" w:cstheme="majorBidi"/>
          <w:lang w:val="en-US"/>
        </w:rPr>
        <w:t xml:space="preserve"> Muslim, Hadith Nr. 875, in: </w:t>
      </w:r>
      <w:hyperlink r:id="rId8" w:history="1">
        <w:r w:rsidRPr="00722F03">
          <w:rPr>
            <w:rStyle w:val="Hyperlink"/>
            <w:rFonts w:asciiTheme="majorBidi" w:hAnsiTheme="majorBidi" w:cstheme="majorBidi"/>
            <w:lang w:val="en-US"/>
          </w:rPr>
          <w:t>https://sunnah.com/muslim:875g</w:t>
        </w:r>
      </w:hyperlink>
      <w:r w:rsidRPr="00722F03">
        <w:rPr>
          <w:rFonts w:asciiTheme="majorBidi" w:hAnsiTheme="majorBidi" w:cstheme="majorBidi"/>
          <w:lang w:val="en-US"/>
        </w:rPr>
        <w:t>)</w:t>
      </w:r>
    </w:p>
    <w:p w14:paraId="0CDE6726" w14:textId="77777777" w:rsidR="009021F0" w:rsidRDefault="009021F0" w:rsidP="009021F0">
      <w:pPr>
        <w:spacing w:after="0"/>
        <w:rPr>
          <w:rFonts w:asciiTheme="majorBidi" w:hAnsiTheme="majorBidi" w:cstheme="majorBidi"/>
          <w:lang w:val="en-US"/>
        </w:rPr>
      </w:pPr>
    </w:p>
    <w:p w14:paraId="4B27E4A9" w14:textId="77777777" w:rsidR="009021F0" w:rsidRPr="005507B9" w:rsidRDefault="009021F0" w:rsidP="009021F0">
      <w:pPr>
        <w:spacing w:after="0"/>
        <w:rPr>
          <w:rFonts w:asciiTheme="majorBidi" w:hAnsiTheme="majorBidi" w:cstheme="majorBidi"/>
        </w:rPr>
      </w:pPr>
      <w:r w:rsidRPr="005507B9">
        <w:rPr>
          <w:rFonts w:asciiTheme="majorBidi" w:hAnsiTheme="majorBidi" w:cstheme="majorBidi"/>
        </w:rPr>
        <w:t>An-</w:t>
      </w:r>
      <w:proofErr w:type="spellStart"/>
      <w:r w:rsidRPr="005507B9">
        <w:rPr>
          <w:rFonts w:asciiTheme="majorBidi" w:hAnsiTheme="majorBidi" w:cstheme="majorBidi"/>
        </w:rPr>
        <w:t>Nawawī</w:t>
      </w:r>
      <w:proofErr w:type="spellEnd"/>
      <w:r w:rsidRPr="005507B9">
        <w:rPr>
          <w:rFonts w:asciiTheme="majorBidi" w:hAnsiTheme="majorBidi" w:cstheme="majorBidi"/>
        </w:rPr>
        <w:t xml:space="preserve"> </w:t>
      </w:r>
      <w:r w:rsidRPr="00D46BEA">
        <w:rPr>
          <w:rFonts w:asciiTheme="majorBidi" w:hAnsiTheme="majorBidi" w:cstheme="majorBidi"/>
          <w:vertAlign w:val="superscript"/>
        </w:rPr>
        <w:t>(r)</w:t>
      </w:r>
      <w:r w:rsidRPr="005507B9">
        <w:rPr>
          <w:rFonts w:asciiTheme="majorBidi" w:hAnsiTheme="majorBidi" w:cstheme="majorBidi"/>
        </w:rPr>
        <w:t xml:space="preserve"> </w:t>
      </w:r>
      <w:r>
        <w:rPr>
          <w:rFonts w:asciiTheme="majorBidi" w:hAnsiTheme="majorBidi" w:cstheme="majorBidi"/>
        </w:rPr>
        <w:t>kommentiert:</w:t>
      </w:r>
      <w:r>
        <w:rPr>
          <w:rFonts w:asciiTheme="majorBidi" w:hAnsiTheme="majorBidi" w:cstheme="majorBidi"/>
        </w:rPr>
        <w:br/>
      </w:r>
    </w:p>
    <w:p w14:paraId="547C08A7" w14:textId="77777777" w:rsidR="009021F0" w:rsidRPr="00D46BEA" w:rsidRDefault="009021F0" w:rsidP="009021F0">
      <w:pPr>
        <w:spacing w:after="0"/>
        <w:jc w:val="right"/>
        <w:rPr>
          <w:rFonts w:ascii="Arabic Typesetting" w:hAnsi="Arabic Typesetting" w:cs="Arabic Typesetting"/>
          <w:sz w:val="32"/>
          <w:szCs w:val="32"/>
        </w:rPr>
      </w:pPr>
      <w:r w:rsidRPr="00D46BEA">
        <w:rPr>
          <w:rFonts w:ascii="Arabic Typesetting" w:hAnsi="Arabic Typesetting" w:cs="Arabic Typesetting"/>
          <w:sz w:val="32"/>
          <w:szCs w:val="32"/>
          <w:rtl/>
        </w:rPr>
        <w:t>وَفِي هَذِهِ الْأَحَادِيثِ أَيْضًا جَوَازُ الْكَلَامِ فِي الْخُطْبَةِ لِحَاجَةٍ وَفِيهَا جَوَازُهُ لِلْخَطِيبِ وَغَيْرِهِ وَفِيهَا الْأَمْرُ بِالْمَعْرُوفِ وَالْإِرْشَادُ إِلَى الْمَصَالِحِ فِي كُلِّ حَالٍ وَمَوْطِنٍ وَفِيهَا أَنَّ تَحِيَّةَ الْمَسْجِدِ رَكْعَتَانِ وَأَنَّ نَوَافِلَ النَّهَارِ رَكْعَتَانِ</w:t>
      </w:r>
    </w:p>
    <w:p w14:paraId="3564BFAB" w14:textId="77777777" w:rsidR="009021F0" w:rsidRPr="005507B9" w:rsidRDefault="009021F0" w:rsidP="009021F0">
      <w:pPr>
        <w:spacing w:after="0"/>
        <w:rPr>
          <w:rFonts w:asciiTheme="majorBidi" w:hAnsiTheme="majorBidi" w:cstheme="majorBidi"/>
        </w:rPr>
      </w:pPr>
      <w:r>
        <w:rPr>
          <w:rFonts w:asciiTheme="majorBidi" w:hAnsiTheme="majorBidi" w:cstheme="majorBidi"/>
        </w:rPr>
        <w:t>„I</w:t>
      </w:r>
      <w:r w:rsidRPr="005507B9">
        <w:rPr>
          <w:rFonts w:asciiTheme="majorBidi" w:hAnsiTheme="majorBidi" w:cstheme="majorBidi"/>
        </w:rPr>
        <w:t xml:space="preserve">n diesen Hadithen </w:t>
      </w:r>
      <w:r>
        <w:rPr>
          <w:rFonts w:asciiTheme="majorBidi" w:hAnsiTheme="majorBidi" w:cstheme="majorBidi"/>
        </w:rPr>
        <w:t xml:space="preserve">liegt </w:t>
      </w:r>
      <w:r w:rsidRPr="005507B9">
        <w:rPr>
          <w:rFonts w:asciiTheme="majorBidi" w:hAnsiTheme="majorBidi" w:cstheme="majorBidi"/>
        </w:rPr>
        <w:t xml:space="preserve">die Erlaubnis, während der </w:t>
      </w:r>
      <w:proofErr w:type="spellStart"/>
      <w:r w:rsidRPr="005507B9">
        <w:rPr>
          <w:rFonts w:asciiTheme="majorBidi" w:hAnsiTheme="majorBidi" w:cstheme="majorBidi"/>
        </w:rPr>
        <w:t>Khutbah</w:t>
      </w:r>
      <w:proofErr w:type="spellEnd"/>
      <w:r w:rsidRPr="005507B9">
        <w:rPr>
          <w:rFonts w:asciiTheme="majorBidi" w:hAnsiTheme="majorBidi" w:cstheme="majorBidi"/>
        </w:rPr>
        <w:t xml:space="preserve"> aus einem notwendigen Grund zu sprechen, sowohl für den Prediger als auch für andere. Ebenso enthalten sie den Grundsatz, in jeder Situation zum Guten aufzufordern und auf das hinzuweisen, was dem Menschen nützt. Sie zeigen ferner, dass </w:t>
      </w:r>
      <w:proofErr w:type="spellStart"/>
      <w:r w:rsidRPr="005507B9">
        <w:rPr>
          <w:rFonts w:asciiTheme="majorBidi" w:hAnsiTheme="majorBidi" w:cstheme="majorBidi"/>
        </w:rPr>
        <w:t>Tahiyyat</w:t>
      </w:r>
      <w:proofErr w:type="spellEnd"/>
      <w:r w:rsidRPr="005507B9">
        <w:rPr>
          <w:rFonts w:asciiTheme="majorBidi" w:hAnsiTheme="majorBidi" w:cstheme="majorBidi"/>
        </w:rPr>
        <w:t xml:space="preserve"> al-Masdschid zwei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sind und dass die freiwilligen Gebete am Tag grundsätzlich aus zwei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bestehen.</w:t>
      </w:r>
      <w:r w:rsidRPr="00EE1041">
        <w:rPr>
          <w:rFonts w:asciiTheme="majorBidi" w:hAnsiTheme="majorBidi" w:cstheme="majorBidi"/>
          <w:vertAlign w:val="superscript"/>
        </w:rPr>
        <w:footnoteReference w:id="4"/>
      </w:r>
    </w:p>
    <w:p w14:paraId="7519C428" w14:textId="77777777" w:rsidR="009021F0" w:rsidRPr="006F76DA" w:rsidRDefault="009021F0" w:rsidP="009021F0">
      <w:pPr>
        <w:spacing w:after="0"/>
        <w:rPr>
          <w:rFonts w:asciiTheme="majorBidi" w:hAnsiTheme="majorBidi" w:cstheme="majorBidi"/>
          <w:b/>
          <w:bCs/>
        </w:rPr>
      </w:pPr>
      <w:r w:rsidRPr="00722F03">
        <w:rPr>
          <w:rFonts w:asciiTheme="majorBidi" w:hAnsiTheme="majorBidi" w:cstheme="majorBidi"/>
        </w:rPr>
        <w:br/>
      </w:r>
      <w:r w:rsidRPr="006F76DA">
        <w:rPr>
          <w:rFonts w:asciiTheme="majorBidi" w:hAnsiTheme="majorBidi" w:cstheme="majorBidi"/>
          <w:b/>
          <w:bCs/>
        </w:rPr>
        <w:t xml:space="preserve">Verständnis der </w:t>
      </w:r>
      <w:proofErr w:type="spellStart"/>
      <w:r w:rsidRPr="006F76DA">
        <w:rPr>
          <w:rFonts w:asciiTheme="majorBidi" w:hAnsiTheme="majorBidi" w:cstheme="majorBidi"/>
          <w:b/>
          <w:bCs/>
        </w:rPr>
        <w:t>Hanafiyyah</w:t>
      </w:r>
      <w:proofErr w:type="spellEnd"/>
      <w:r w:rsidRPr="006F76DA">
        <w:rPr>
          <w:rFonts w:asciiTheme="majorBidi" w:hAnsiTheme="majorBidi" w:cstheme="majorBidi"/>
          <w:b/>
          <w:bCs/>
        </w:rPr>
        <w:t xml:space="preserve"> und </w:t>
      </w:r>
      <w:proofErr w:type="spellStart"/>
      <w:r w:rsidRPr="006F76DA">
        <w:rPr>
          <w:rFonts w:asciiTheme="majorBidi" w:hAnsiTheme="majorBidi" w:cstheme="majorBidi"/>
          <w:b/>
          <w:bCs/>
        </w:rPr>
        <w:t>Maalikiyyah</w:t>
      </w:r>
      <w:proofErr w:type="spellEnd"/>
      <w:r w:rsidRPr="006F76DA">
        <w:rPr>
          <w:rFonts w:asciiTheme="majorBidi" w:hAnsiTheme="majorBidi" w:cstheme="majorBidi"/>
          <w:b/>
          <w:bCs/>
        </w:rPr>
        <w:t xml:space="preserve"> bzgl. des scheinbaren Gegenbelegs </w:t>
      </w:r>
    </w:p>
    <w:p w14:paraId="788725D8" w14:textId="77777777" w:rsidR="009021F0" w:rsidRDefault="009021F0" w:rsidP="009021F0">
      <w:pPr>
        <w:spacing w:after="0"/>
        <w:rPr>
          <w:rFonts w:asciiTheme="majorBidi" w:hAnsiTheme="majorBidi" w:cstheme="majorBidi"/>
        </w:rPr>
      </w:pPr>
      <w:r w:rsidRPr="005507B9">
        <w:rPr>
          <w:rFonts w:asciiTheme="majorBidi" w:hAnsiTheme="majorBidi" w:cstheme="majorBidi"/>
        </w:rPr>
        <w:t xml:space="preserve">Wie verstehen die </w:t>
      </w:r>
      <w:proofErr w:type="spellStart"/>
      <w:r w:rsidRPr="005507B9">
        <w:rPr>
          <w:rFonts w:asciiTheme="majorBidi" w:hAnsiTheme="majorBidi" w:cstheme="majorBidi"/>
        </w:rPr>
        <w:t>hanafitischen</w:t>
      </w:r>
      <w:proofErr w:type="spellEnd"/>
      <w:r w:rsidRPr="005507B9">
        <w:rPr>
          <w:rFonts w:asciiTheme="majorBidi" w:hAnsiTheme="majorBidi" w:cstheme="majorBidi"/>
        </w:rPr>
        <w:t xml:space="preserve"> und </w:t>
      </w:r>
      <w:proofErr w:type="spellStart"/>
      <w:r w:rsidRPr="005507B9">
        <w:rPr>
          <w:rFonts w:asciiTheme="majorBidi" w:hAnsiTheme="majorBidi" w:cstheme="majorBidi"/>
        </w:rPr>
        <w:t>malikitischen</w:t>
      </w:r>
      <w:proofErr w:type="spellEnd"/>
      <w:r w:rsidRPr="005507B9">
        <w:rPr>
          <w:rFonts w:asciiTheme="majorBidi" w:hAnsiTheme="majorBidi" w:cstheme="majorBidi"/>
        </w:rPr>
        <w:t xml:space="preserve"> Gelehrten die</w:t>
      </w:r>
      <w:r>
        <w:rPr>
          <w:rFonts w:asciiTheme="majorBidi" w:hAnsiTheme="majorBidi" w:cstheme="majorBidi"/>
        </w:rPr>
        <w:t xml:space="preserve"> Aufforderung des Propheten </w:t>
      </w:r>
      <w:r w:rsidRPr="005507B9">
        <w:rPr>
          <w:rFonts w:asciiTheme="majorBidi" w:hAnsiTheme="majorBidi" w:cstheme="majorBidi"/>
          <w:rtl/>
        </w:rPr>
        <w:t>ﷺ</w:t>
      </w:r>
      <w:r>
        <w:rPr>
          <w:rFonts w:asciiTheme="majorBidi" w:hAnsiTheme="majorBidi" w:cstheme="majorBidi"/>
        </w:rPr>
        <w:t xml:space="preserve">, welche er an </w:t>
      </w:r>
      <w:r w:rsidRPr="005507B9">
        <w:rPr>
          <w:rFonts w:asciiTheme="majorBidi" w:hAnsiTheme="majorBidi" w:cstheme="majorBidi"/>
        </w:rPr>
        <w:t>Begebenheit; wie harmonisieren sie die scheinbar widersprüchlichen Belege?</w:t>
      </w:r>
      <w:r>
        <w:rPr>
          <w:rFonts w:asciiTheme="majorBidi" w:hAnsiTheme="majorBidi" w:cstheme="majorBidi"/>
        </w:rPr>
        <w:br/>
        <w:t>As-</w:t>
      </w:r>
      <w:proofErr w:type="spellStart"/>
      <w:r>
        <w:rPr>
          <w:rFonts w:asciiTheme="majorBidi" w:hAnsiTheme="majorBidi" w:cstheme="majorBidi"/>
        </w:rPr>
        <w:t>Sarakhsiy</w:t>
      </w:r>
      <w:proofErr w:type="spellEnd"/>
      <w:r>
        <w:rPr>
          <w:rFonts w:asciiTheme="majorBidi" w:hAnsiTheme="majorBidi" w:cstheme="majorBidi"/>
        </w:rPr>
        <w:t xml:space="preserve"> erläutert in seinem </w:t>
      </w:r>
      <w:proofErr w:type="spellStart"/>
      <w:r>
        <w:rPr>
          <w:rFonts w:asciiTheme="majorBidi" w:hAnsiTheme="majorBidi" w:cstheme="majorBidi"/>
        </w:rPr>
        <w:t>Mabsuut</w:t>
      </w:r>
      <w:proofErr w:type="spellEnd"/>
      <w:r>
        <w:rPr>
          <w:rFonts w:asciiTheme="majorBidi" w:hAnsiTheme="majorBidi" w:cstheme="majorBidi"/>
        </w:rPr>
        <w:t xml:space="preserve">: </w:t>
      </w:r>
      <w:r>
        <w:rPr>
          <w:rFonts w:asciiTheme="majorBidi" w:hAnsiTheme="majorBidi" w:cstheme="majorBidi"/>
        </w:rPr>
        <w:br/>
      </w:r>
    </w:p>
    <w:p w14:paraId="73C3BE49" w14:textId="77777777" w:rsidR="009021F0" w:rsidRPr="00D46BEA" w:rsidRDefault="009021F0" w:rsidP="009021F0">
      <w:pPr>
        <w:spacing w:after="0"/>
        <w:jc w:val="right"/>
        <w:rPr>
          <w:rFonts w:ascii="Arabic Typesetting" w:hAnsi="Arabic Typesetting" w:cs="Arabic Typesetting"/>
          <w:sz w:val="32"/>
          <w:szCs w:val="32"/>
        </w:rPr>
      </w:pPr>
      <w:r w:rsidRPr="00D46BEA">
        <w:rPr>
          <w:rFonts w:ascii="Arabic Typesetting" w:hAnsi="Arabic Typesetting" w:cs="Arabic Typesetting" w:hint="cs"/>
          <w:sz w:val="32"/>
          <w:szCs w:val="32"/>
          <w:rtl/>
        </w:rPr>
        <w:t>وتأويل حديث سليك أنه كان قبل وجوب الاستماع ونزول قوله {وإذا قرئ القرآن} [الأعراف: 204] وقيل لما دخل وعليه هيئة رثة ترك رسول الله – صلى الله عليه وسلم – الخطبة لأجله وانتظره حتى قام وصلى ركعتين والمراد أن يرى الناس سوء حاله فيواسوه بشيء وفي زماننا الخطيب لا يترك الخطبة لأجل الداخل فلا يشتغل هو بالصلاة</w:t>
      </w:r>
    </w:p>
    <w:p w14:paraId="3767E93C" w14:textId="77777777" w:rsidR="009021F0" w:rsidRPr="005507B9" w:rsidRDefault="009021F0" w:rsidP="009021F0">
      <w:pPr>
        <w:spacing w:after="0"/>
        <w:rPr>
          <w:rFonts w:asciiTheme="majorBidi" w:hAnsiTheme="majorBidi" w:cstheme="majorBidi"/>
        </w:rPr>
      </w:pPr>
      <w:r>
        <w:rPr>
          <w:rFonts w:asciiTheme="majorBidi" w:hAnsiTheme="majorBidi" w:cstheme="majorBidi"/>
        </w:rPr>
        <w:t>„</w:t>
      </w:r>
      <w:r w:rsidRPr="005507B9">
        <w:rPr>
          <w:rFonts w:asciiTheme="majorBidi" w:hAnsiTheme="majorBidi" w:cstheme="majorBidi"/>
        </w:rPr>
        <w:t>Es wurde auch gesagt: Als er eintrat und sein Zustand von zerlumpter Kleidung zeugte, unterbrach der Gesandte Allahs</w:t>
      </w:r>
      <w:r w:rsidRPr="005507B9">
        <w:rPr>
          <w:rFonts w:asciiTheme="majorBidi" w:hAnsiTheme="majorBidi" w:cstheme="majorBidi"/>
          <w:rtl/>
        </w:rPr>
        <w:t xml:space="preserve"> </w:t>
      </w:r>
      <w:r w:rsidRPr="005507B9">
        <w:rPr>
          <w:rFonts w:asciiTheme="majorBidi" w:hAnsiTheme="majorBidi" w:cstheme="majorBidi"/>
        </w:rPr>
        <w:t xml:space="preserve">wegen ihm die Predigt und wartete, bis er aufstand und zwei </w:t>
      </w:r>
      <w:proofErr w:type="spellStart"/>
      <w:r w:rsidRPr="005507B9">
        <w:rPr>
          <w:rFonts w:asciiTheme="majorBidi" w:hAnsiTheme="majorBidi" w:cstheme="majorBidi"/>
        </w:rPr>
        <w:t>Rakʿa</w:t>
      </w:r>
      <w:r>
        <w:rPr>
          <w:rFonts w:asciiTheme="majorBidi" w:hAnsiTheme="majorBidi" w:cstheme="majorBidi"/>
        </w:rPr>
        <w:t>h</w:t>
      </w:r>
      <w:proofErr w:type="spellEnd"/>
      <w:r w:rsidRPr="005507B9">
        <w:rPr>
          <w:rFonts w:asciiTheme="majorBidi" w:hAnsiTheme="majorBidi" w:cstheme="majorBidi"/>
        </w:rPr>
        <w:t xml:space="preserve"> betete. Damit sollte die schlechte Lage dieses Mannes für die Menschen sichtbar werden, damit sie ihm etwas geben und ihn unterstützen würden. In unserer Zeit jedoch unterbricht der Prediger die Predigt nicht wegen eines Eintretenden; daher soll dieser nicht mit dem Gebet beschäftigt sein.</w:t>
      </w:r>
      <w:r>
        <w:rPr>
          <w:rFonts w:asciiTheme="majorBidi" w:hAnsiTheme="majorBidi" w:cstheme="majorBidi"/>
        </w:rPr>
        <w:t>“</w:t>
      </w:r>
      <w:r>
        <w:rPr>
          <w:rStyle w:val="Funotenzeichen"/>
          <w:rFonts w:asciiTheme="majorBidi" w:hAnsiTheme="majorBidi" w:cstheme="majorBidi"/>
        </w:rPr>
        <w:footnoteReference w:id="5"/>
      </w:r>
      <w:r>
        <w:rPr>
          <w:rFonts w:asciiTheme="majorBidi" w:hAnsiTheme="majorBidi" w:cstheme="majorBidi"/>
        </w:rPr>
        <w:br/>
      </w:r>
    </w:p>
    <w:p w14:paraId="286B803C" w14:textId="77777777" w:rsidR="009021F0" w:rsidRPr="005507B9" w:rsidRDefault="009021F0" w:rsidP="009021F0">
      <w:pPr>
        <w:spacing w:after="0"/>
        <w:jc w:val="right"/>
        <w:rPr>
          <w:rFonts w:ascii="Arabic Typesetting" w:hAnsi="Arabic Typesetting" w:cs="Arabic Typesetting"/>
          <w:sz w:val="32"/>
          <w:szCs w:val="32"/>
        </w:rPr>
      </w:pPr>
      <w:r w:rsidRPr="005507B9">
        <w:rPr>
          <w:rFonts w:ascii="Arabic Typesetting" w:hAnsi="Arabic Typesetting" w:cs="Arabic Typesetting"/>
          <w:sz w:val="32"/>
          <w:szCs w:val="32"/>
          <w:rtl/>
        </w:rPr>
        <w:t>وَتَأَوَّلُوا هَذِهِ الْأَحَادِيثَ أَنَّهُ كَانَ عُرْيَانًا فَأَمَرَهُ النَّبِيُّ صَلَّى اللَّهُ عَلَيْهِ وَسَلَّمَ بِالْقِيَامِ لِيَرَاهُ النَّاسُ وَيَتَصَدَّقُوا عَلَيْهِ</w:t>
      </w:r>
      <w:r w:rsidRPr="005507B9">
        <w:rPr>
          <w:rFonts w:ascii="Arabic Typesetting" w:hAnsi="Arabic Typesetting" w:cs="Arabic Typesetting"/>
          <w:sz w:val="32"/>
          <w:szCs w:val="32"/>
        </w:rPr>
        <w:t>...</w:t>
      </w:r>
    </w:p>
    <w:p w14:paraId="3F2344AE" w14:textId="77777777" w:rsidR="009021F0" w:rsidRDefault="009021F0" w:rsidP="009021F0">
      <w:pPr>
        <w:spacing w:after="0"/>
        <w:rPr>
          <w:rFonts w:asciiTheme="majorBidi" w:hAnsiTheme="majorBidi" w:cstheme="majorBidi"/>
        </w:rPr>
      </w:pPr>
      <w:r>
        <w:rPr>
          <w:rFonts w:asciiTheme="majorBidi" w:hAnsiTheme="majorBidi" w:cstheme="majorBidi"/>
        </w:rPr>
        <w:lastRenderedPageBreak/>
        <w:t>„</w:t>
      </w:r>
      <w:r w:rsidRPr="005507B9">
        <w:rPr>
          <w:rFonts w:asciiTheme="majorBidi" w:hAnsiTheme="majorBidi" w:cstheme="majorBidi"/>
        </w:rPr>
        <w:t>Sie</w:t>
      </w:r>
      <w:r>
        <w:rPr>
          <w:rStyle w:val="Funotenzeichen"/>
          <w:rFonts w:asciiTheme="majorBidi" w:hAnsiTheme="majorBidi" w:cstheme="majorBidi"/>
        </w:rPr>
        <w:footnoteReference w:id="6"/>
      </w:r>
      <w:r w:rsidRPr="005507B9">
        <w:rPr>
          <w:rFonts w:asciiTheme="majorBidi" w:hAnsiTheme="majorBidi" w:cstheme="majorBidi"/>
        </w:rPr>
        <w:t xml:space="preserve"> deuteten diese Hadithe dahingehend, dass der betreffende Mann arm bzw. in schlechtem Zustand war. Der Prophet</w:t>
      </w:r>
      <w:r>
        <w:rPr>
          <w:rFonts w:asciiTheme="majorBidi" w:hAnsiTheme="majorBidi" w:cstheme="majorBidi"/>
        </w:rPr>
        <w:t xml:space="preserve"> </w:t>
      </w:r>
      <w:r w:rsidRPr="006177E4">
        <w:rPr>
          <w:rFonts w:asciiTheme="majorBidi" w:hAnsiTheme="majorBidi" w:cstheme="majorBidi"/>
          <w:rtl/>
        </w:rPr>
        <w:t>ﷺ</w:t>
      </w:r>
      <w:r w:rsidRPr="006177E4">
        <w:rPr>
          <w:rFonts w:asciiTheme="majorBidi" w:hAnsiTheme="majorBidi" w:cstheme="majorBidi"/>
        </w:rPr>
        <w:t xml:space="preserve"> </w:t>
      </w:r>
      <w:r>
        <w:rPr>
          <w:rFonts w:asciiTheme="majorBidi" w:hAnsiTheme="majorBidi" w:cstheme="majorBidi"/>
        </w:rPr>
        <w:t>h</w:t>
      </w:r>
      <w:r w:rsidRPr="005507B9">
        <w:rPr>
          <w:rFonts w:asciiTheme="majorBidi" w:hAnsiTheme="majorBidi" w:cstheme="majorBidi"/>
        </w:rPr>
        <w:t>abe ihn deshalb aufstehen lassen, damit die Menschen ihn sehen und ihm etwas spenden.</w:t>
      </w:r>
      <w:r>
        <w:rPr>
          <w:rFonts w:asciiTheme="majorBidi" w:hAnsiTheme="majorBidi" w:cstheme="majorBidi"/>
        </w:rPr>
        <w:t>“</w:t>
      </w:r>
    </w:p>
    <w:p w14:paraId="470E9A9B" w14:textId="77777777" w:rsidR="009021F0" w:rsidRDefault="009021F0" w:rsidP="009021F0">
      <w:pPr>
        <w:spacing w:after="0"/>
        <w:rPr>
          <w:rFonts w:asciiTheme="majorBidi" w:hAnsiTheme="majorBidi" w:cstheme="majorBidi"/>
        </w:rPr>
      </w:pPr>
      <w:r>
        <w:rPr>
          <w:rFonts w:asciiTheme="majorBidi" w:hAnsiTheme="majorBidi" w:cstheme="majorBidi"/>
        </w:rPr>
        <w:br/>
      </w:r>
      <w:r w:rsidRPr="005507B9">
        <w:rPr>
          <w:rFonts w:asciiTheme="majorBidi" w:hAnsiTheme="majorBidi" w:cstheme="majorBidi"/>
        </w:rPr>
        <w:t>An-</w:t>
      </w:r>
      <w:proofErr w:type="spellStart"/>
      <w:r w:rsidRPr="005507B9">
        <w:rPr>
          <w:rFonts w:asciiTheme="majorBidi" w:hAnsiTheme="majorBidi" w:cstheme="majorBidi"/>
        </w:rPr>
        <w:t>Nawawī</w:t>
      </w:r>
      <w:proofErr w:type="spellEnd"/>
      <w:r w:rsidRPr="005507B9">
        <w:rPr>
          <w:rFonts w:asciiTheme="majorBidi" w:hAnsiTheme="majorBidi" w:cstheme="majorBidi"/>
        </w:rPr>
        <w:t xml:space="preserve"> – möge ALLAAH sich seiner erbarmen! –</w:t>
      </w:r>
      <w:r w:rsidRPr="00EE1041">
        <w:rPr>
          <w:rFonts w:asciiTheme="majorBidi" w:hAnsiTheme="majorBidi" w:cstheme="majorBidi"/>
          <w:vertAlign w:val="superscript"/>
        </w:rPr>
        <w:footnoteReference w:id="7"/>
      </w:r>
      <w:r w:rsidRPr="00EE1041">
        <w:rPr>
          <w:rFonts w:asciiTheme="majorBidi" w:hAnsiTheme="majorBidi" w:cstheme="majorBidi"/>
          <w:vertAlign w:val="superscript"/>
        </w:rPr>
        <w:t xml:space="preserve"> </w:t>
      </w:r>
      <w:r w:rsidRPr="005507B9">
        <w:rPr>
          <w:rFonts w:asciiTheme="majorBidi" w:hAnsiTheme="majorBidi" w:cstheme="majorBidi"/>
        </w:rPr>
        <w:t>weist diese Deutung jedoch zurück</w:t>
      </w:r>
      <w:r>
        <w:rPr>
          <w:rFonts w:asciiTheme="majorBidi" w:hAnsiTheme="majorBidi" w:cstheme="majorBidi"/>
        </w:rPr>
        <w:t xml:space="preserve">: </w:t>
      </w:r>
    </w:p>
    <w:p w14:paraId="164E0C85" w14:textId="77777777" w:rsidR="009021F0" w:rsidRDefault="009021F0" w:rsidP="009021F0">
      <w:pPr>
        <w:spacing w:after="0"/>
        <w:rPr>
          <w:rFonts w:asciiTheme="majorBidi" w:hAnsiTheme="majorBidi" w:cstheme="majorBidi"/>
        </w:rPr>
      </w:pPr>
    </w:p>
    <w:p w14:paraId="4B43067C" w14:textId="77777777" w:rsidR="009021F0" w:rsidRPr="002054E2" w:rsidRDefault="009021F0" w:rsidP="009021F0">
      <w:pPr>
        <w:spacing w:after="0"/>
        <w:jc w:val="right"/>
        <w:rPr>
          <w:rFonts w:asciiTheme="majorBidi" w:hAnsiTheme="majorBidi" w:cstheme="majorBidi"/>
          <w:sz w:val="30"/>
          <w:szCs w:val="30"/>
        </w:rPr>
      </w:pPr>
      <w:r w:rsidRPr="005507B9">
        <w:rPr>
          <w:rFonts w:ascii="Arabic Typesetting" w:hAnsi="Arabic Typesetting" w:cs="Arabic Typesetting"/>
          <w:sz w:val="30"/>
          <w:szCs w:val="30"/>
          <w:rtl/>
        </w:rPr>
        <w:t>وَهَذَا تَأْوِيلٌ بَاطِلٌ يَرُدُّهُ صَرِيحُ قَوْلِهِ صَلَّى اللَّهُ عَلَيْهِ وَسَلَّمَ إِذَا جَاءَ أَحَدُكُمْ يَوْمَ الْجُمُعَةِ وَالْإِمَامُ يَخْطُبُ فَلْيَرْكَعْ رَكْعَتَيْنِ وَلْيَتَجَوَّزْ فِيهِمَا وَهَذَا نَصٌّ لَا يَتَطَرَّقُ إِلَيْهِ تَأْوِيلٌ</w:t>
      </w:r>
    </w:p>
    <w:p w14:paraId="655C976A" w14:textId="77777777" w:rsidR="009021F0" w:rsidRDefault="009021F0" w:rsidP="009021F0">
      <w:pPr>
        <w:spacing w:after="0"/>
        <w:rPr>
          <w:rFonts w:asciiTheme="majorBidi" w:hAnsiTheme="majorBidi" w:cstheme="majorBidi"/>
        </w:rPr>
      </w:pPr>
      <w:r>
        <w:rPr>
          <w:rFonts w:asciiTheme="majorBidi" w:hAnsiTheme="majorBidi" w:cstheme="majorBidi"/>
        </w:rPr>
        <w:t>„D</w:t>
      </w:r>
      <w:r w:rsidRPr="005507B9">
        <w:rPr>
          <w:rFonts w:asciiTheme="majorBidi" w:hAnsiTheme="majorBidi" w:cstheme="majorBidi"/>
        </w:rPr>
        <w:t xml:space="preserve">ie eindeutige allgemeine Aussage des Propheten </w:t>
      </w:r>
      <w:r w:rsidRPr="005507B9">
        <w:rPr>
          <w:rFonts w:asciiTheme="majorBidi" w:hAnsiTheme="majorBidi" w:cstheme="majorBidi"/>
          <w:rtl/>
        </w:rPr>
        <w:t xml:space="preserve">ﷺ </w:t>
      </w:r>
      <w:r w:rsidRPr="005507B9">
        <w:rPr>
          <w:rFonts w:asciiTheme="majorBidi" w:hAnsiTheme="majorBidi" w:cstheme="majorBidi"/>
        </w:rPr>
        <w:t xml:space="preserve">– „Wenn einer von euch am Freitag kommt, während der Imam predigt, soll er zwei </w:t>
      </w:r>
      <w:proofErr w:type="spellStart"/>
      <w:r w:rsidRPr="005507B9">
        <w:rPr>
          <w:rFonts w:asciiTheme="majorBidi" w:hAnsiTheme="majorBidi" w:cstheme="majorBidi"/>
        </w:rPr>
        <w:t>Rakʿah</w:t>
      </w:r>
      <w:proofErr w:type="spellEnd"/>
      <w:r w:rsidRPr="005507B9">
        <w:rPr>
          <w:rFonts w:asciiTheme="majorBidi" w:hAnsiTheme="majorBidi" w:cstheme="majorBidi"/>
        </w:rPr>
        <w:t xml:space="preserve"> beten und sie kurz verrichten“ – widerspricht dieser Einschränkung.</w:t>
      </w:r>
      <w:r>
        <w:rPr>
          <w:rFonts w:asciiTheme="majorBidi" w:hAnsiTheme="majorBidi" w:cstheme="majorBidi"/>
        </w:rPr>
        <w:t>“</w:t>
      </w:r>
      <w:r w:rsidRPr="00EE1041">
        <w:rPr>
          <w:rFonts w:asciiTheme="majorBidi" w:hAnsiTheme="majorBidi" w:cstheme="majorBidi"/>
          <w:vertAlign w:val="superscript"/>
        </w:rPr>
        <w:footnoteReference w:id="8"/>
      </w:r>
    </w:p>
    <w:p w14:paraId="2C29AB94" w14:textId="77777777" w:rsidR="009021F0" w:rsidRDefault="009021F0" w:rsidP="009021F0">
      <w:pPr>
        <w:spacing w:after="0"/>
        <w:rPr>
          <w:rFonts w:asciiTheme="majorBidi" w:hAnsiTheme="majorBidi" w:cstheme="majorBidi"/>
        </w:rPr>
      </w:pPr>
    </w:p>
    <w:p w14:paraId="55A82016" w14:textId="77777777" w:rsidR="009021F0" w:rsidRPr="00FD4FA3" w:rsidRDefault="009021F0" w:rsidP="009021F0">
      <w:pPr>
        <w:spacing w:after="0"/>
        <w:rPr>
          <w:rFonts w:asciiTheme="majorBidi" w:hAnsiTheme="majorBidi" w:cstheme="majorBidi"/>
        </w:rPr>
      </w:pPr>
      <w:proofErr w:type="spellStart"/>
      <w:r w:rsidRPr="00FD4FA3">
        <w:rPr>
          <w:rFonts w:asciiTheme="majorBidi" w:hAnsiTheme="majorBidi" w:cstheme="majorBidi"/>
        </w:rPr>
        <w:t>Aṭ-Ṭaḥāwī</w:t>
      </w:r>
      <w:proofErr w:type="spellEnd"/>
      <w:r w:rsidRPr="00FD4FA3">
        <w:rPr>
          <w:rFonts w:asciiTheme="majorBidi" w:hAnsiTheme="majorBidi" w:cstheme="majorBidi"/>
        </w:rPr>
        <w:t xml:space="preserve"> harmonisiert über </w:t>
      </w:r>
      <w:proofErr w:type="spellStart"/>
      <w:r w:rsidRPr="00FD4FA3">
        <w:rPr>
          <w:rFonts w:asciiTheme="majorBidi" w:hAnsiTheme="majorBidi" w:cstheme="majorBidi"/>
        </w:rPr>
        <w:t>Naskh</w:t>
      </w:r>
      <w:proofErr w:type="spellEnd"/>
      <w:r w:rsidRPr="00FD4FA3">
        <w:rPr>
          <w:rFonts w:asciiTheme="majorBidi" w:hAnsiTheme="majorBidi" w:cstheme="majorBidi"/>
        </w:rPr>
        <w:t>, der Abrogation:</w:t>
      </w:r>
      <w:r>
        <w:rPr>
          <w:rFonts w:asciiTheme="majorBidi" w:hAnsiTheme="majorBidi" w:cstheme="majorBidi"/>
        </w:rPr>
        <w:br/>
      </w:r>
    </w:p>
    <w:p w14:paraId="2DE3C53C" w14:textId="77777777" w:rsidR="009021F0" w:rsidRPr="002054E2" w:rsidRDefault="009021F0" w:rsidP="009021F0">
      <w:pPr>
        <w:spacing w:after="0"/>
        <w:jc w:val="right"/>
        <w:rPr>
          <w:rFonts w:ascii="Arabic Typesetting" w:hAnsi="Arabic Typesetting" w:cs="Arabic Typesetting"/>
          <w:sz w:val="30"/>
          <w:szCs w:val="30"/>
        </w:rPr>
      </w:pPr>
      <w:r w:rsidRPr="002054E2">
        <w:rPr>
          <w:rFonts w:ascii="Arabic Typesetting" w:hAnsi="Arabic Typesetting" w:cs="Arabic Typesetting"/>
          <w:sz w:val="30"/>
          <w:szCs w:val="30"/>
          <w:rtl/>
        </w:rPr>
        <w:t>وقال الطحاوي: ولقد تواترت الروايات عن رسول الله – صلى الله عليه وسلم – بأن من قال لصاحبه: أنصت والإمام يخطب يوم الجمعة، فقد لغا،</w:t>
      </w:r>
      <w:r>
        <w:rPr>
          <w:rFonts w:ascii="Arabic Typesetting" w:hAnsi="Arabic Typesetting" w:cs="Arabic Typesetting"/>
          <w:sz w:val="30"/>
          <w:szCs w:val="30"/>
        </w:rPr>
        <w:t xml:space="preserve"> </w:t>
      </w:r>
      <w:r w:rsidRPr="002054E2">
        <w:rPr>
          <w:rFonts w:ascii="Arabic Typesetting" w:hAnsi="Arabic Typesetting" w:cs="Arabic Typesetting"/>
          <w:sz w:val="30"/>
          <w:szCs w:val="30"/>
          <w:rtl/>
        </w:rPr>
        <w:t>فإذا كان قول الرجل لصاحبه والإمام يخطب: أنصت، لغوًا، كان قول الإِمام للرجل: قم، صل، لغوًا أيضًا، فثبت بذلك أن الوقت الذي كان فيه من رسول الله – صلى الله عليه وسلم – الأمر لسليك بما أمره به، إنما كان قبل النهي، وكان الحكم فيه في ذلك بخلاف الحكم في الوقت الذي جعل مثل ذلك لغوًا</w:t>
      </w:r>
    </w:p>
    <w:p w14:paraId="16124F17" w14:textId="77777777" w:rsidR="009021F0" w:rsidRPr="00FD4FA3" w:rsidRDefault="009021F0" w:rsidP="009021F0">
      <w:pPr>
        <w:spacing w:after="0"/>
        <w:rPr>
          <w:rFonts w:asciiTheme="majorBidi" w:hAnsiTheme="majorBidi" w:cstheme="majorBidi"/>
        </w:rPr>
      </w:pPr>
      <w:r w:rsidRPr="00FD4FA3">
        <w:rPr>
          <w:rFonts w:asciiTheme="majorBidi" w:hAnsiTheme="majorBidi" w:cstheme="majorBidi"/>
        </w:rPr>
        <w:t xml:space="preserve">„Es sind zahlreiche, aufeinanderfolgende Überlieferungen vom Gesandten Allahs </w:t>
      </w:r>
      <w:r w:rsidRPr="00FD4FA3">
        <w:rPr>
          <w:rFonts w:asciiTheme="majorBidi" w:hAnsiTheme="majorBidi" w:cstheme="majorBidi"/>
          <w:rtl/>
        </w:rPr>
        <w:t>ﷺ</w:t>
      </w:r>
      <w:r w:rsidRPr="00FD4FA3">
        <w:rPr>
          <w:rFonts w:asciiTheme="majorBidi" w:hAnsiTheme="majorBidi" w:cstheme="majorBidi"/>
        </w:rPr>
        <w:t xml:space="preserve"> überliefert worden, dass derjenige, der zu seinem Gefährten sagt: ‚Sei still!‘, während der Imam am Freitag die Predigt hält, </w:t>
      </w:r>
      <w:proofErr w:type="spellStart"/>
      <w:r w:rsidRPr="00FD4FA3">
        <w:rPr>
          <w:rFonts w:asciiTheme="majorBidi" w:hAnsiTheme="majorBidi" w:cstheme="majorBidi"/>
        </w:rPr>
        <w:t>Laghw</w:t>
      </w:r>
      <w:proofErr w:type="spellEnd"/>
      <w:r w:rsidRPr="00FD4FA3">
        <w:rPr>
          <w:rFonts w:asciiTheme="majorBidi" w:hAnsiTheme="majorBidi" w:cstheme="majorBidi"/>
        </w:rPr>
        <w:t xml:space="preserve"> begangen hat.</w:t>
      </w:r>
    </w:p>
    <w:p w14:paraId="5770D2FC" w14:textId="77777777" w:rsidR="009021F0" w:rsidRPr="00FD4FA3" w:rsidRDefault="009021F0" w:rsidP="009021F0">
      <w:pPr>
        <w:spacing w:after="0"/>
        <w:rPr>
          <w:rFonts w:asciiTheme="majorBidi" w:hAnsiTheme="majorBidi" w:cstheme="majorBidi"/>
        </w:rPr>
      </w:pPr>
      <w:r w:rsidRPr="00FD4FA3">
        <w:rPr>
          <w:rFonts w:asciiTheme="majorBidi" w:hAnsiTheme="majorBidi" w:cstheme="majorBidi"/>
        </w:rPr>
        <w:t xml:space="preserve">Wenn nun die Aussage eines Mannes zu seinem Gefährten während der Predigt des Imams – ‚Sei still!‘ – als </w:t>
      </w:r>
      <w:proofErr w:type="spellStart"/>
      <w:r w:rsidRPr="00FD4FA3">
        <w:rPr>
          <w:rFonts w:asciiTheme="majorBidi" w:hAnsiTheme="majorBidi" w:cstheme="majorBidi"/>
        </w:rPr>
        <w:t>Laghw</w:t>
      </w:r>
      <w:proofErr w:type="spellEnd"/>
      <w:r w:rsidRPr="00FD4FA3">
        <w:rPr>
          <w:rFonts w:asciiTheme="majorBidi" w:hAnsiTheme="majorBidi" w:cstheme="majorBidi"/>
        </w:rPr>
        <w:t xml:space="preserve"> gilt, dann müsste auch die Aussage des Imams zu einem Mann – ‚Steh auf, bete!‘ – als </w:t>
      </w:r>
      <w:proofErr w:type="spellStart"/>
      <w:r w:rsidRPr="00FD4FA3">
        <w:rPr>
          <w:rFonts w:asciiTheme="majorBidi" w:hAnsiTheme="majorBidi" w:cstheme="majorBidi"/>
        </w:rPr>
        <w:t>Laghw</w:t>
      </w:r>
      <w:proofErr w:type="spellEnd"/>
      <w:r w:rsidRPr="00FD4FA3">
        <w:rPr>
          <w:rFonts w:asciiTheme="majorBidi" w:hAnsiTheme="majorBidi" w:cstheme="majorBidi"/>
        </w:rPr>
        <w:t xml:space="preserve"> gelten.</w:t>
      </w:r>
    </w:p>
    <w:p w14:paraId="1E5AFF24" w14:textId="77777777" w:rsidR="009021F0" w:rsidRPr="00FD4FA3" w:rsidRDefault="009021F0" w:rsidP="009021F0">
      <w:pPr>
        <w:spacing w:after="0"/>
        <w:rPr>
          <w:rFonts w:asciiTheme="majorBidi" w:hAnsiTheme="majorBidi" w:cstheme="majorBidi"/>
        </w:rPr>
      </w:pPr>
      <w:r w:rsidRPr="00FD4FA3">
        <w:rPr>
          <w:rFonts w:asciiTheme="majorBidi" w:hAnsiTheme="majorBidi" w:cstheme="majorBidi"/>
        </w:rPr>
        <w:t xml:space="preserve">Damit steht fest, dass der Zeitpunkt, zu dem der Gesandte Allahs </w:t>
      </w:r>
      <w:r w:rsidRPr="00FD4FA3">
        <w:rPr>
          <w:rFonts w:asciiTheme="majorBidi" w:hAnsiTheme="majorBidi" w:cstheme="majorBidi"/>
          <w:rtl/>
        </w:rPr>
        <w:t>ﷺ</w:t>
      </w:r>
      <w:r w:rsidRPr="00FD4FA3">
        <w:rPr>
          <w:rFonts w:asciiTheme="majorBidi" w:hAnsiTheme="majorBidi" w:cstheme="majorBidi"/>
        </w:rPr>
        <w:t xml:space="preserve"> </w:t>
      </w:r>
      <w:proofErr w:type="spellStart"/>
      <w:r w:rsidRPr="00FD4FA3">
        <w:rPr>
          <w:rFonts w:asciiTheme="majorBidi" w:hAnsiTheme="majorBidi" w:cstheme="majorBidi"/>
        </w:rPr>
        <w:t>Sulayk</w:t>
      </w:r>
      <w:proofErr w:type="spellEnd"/>
      <w:r w:rsidRPr="00FD4FA3">
        <w:rPr>
          <w:rFonts w:asciiTheme="majorBidi" w:hAnsiTheme="majorBidi" w:cstheme="majorBidi"/>
        </w:rPr>
        <w:t xml:space="preserve"> das befahl, was er ihm befahl, vor dem diesbezüglichen Verbot lag. Zu jener Zeit galt hinsichtlich dieser Angelegenheit eine andere Regelung als zu dem Zeitpunkt, in dem eine solche Äußerung als </w:t>
      </w:r>
      <w:proofErr w:type="spellStart"/>
      <w:r w:rsidRPr="00FD4FA3">
        <w:rPr>
          <w:rFonts w:asciiTheme="majorBidi" w:hAnsiTheme="majorBidi" w:cstheme="majorBidi"/>
        </w:rPr>
        <w:t>Laghw</w:t>
      </w:r>
      <w:proofErr w:type="spellEnd"/>
      <w:r w:rsidRPr="00FD4FA3">
        <w:rPr>
          <w:rFonts w:asciiTheme="majorBidi" w:hAnsiTheme="majorBidi" w:cstheme="majorBidi"/>
        </w:rPr>
        <w:t xml:space="preserve"> eingestuft wurde.“</w:t>
      </w:r>
      <w:r w:rsidRPr="00EE1041">
        <w:rPr>
          <w:rFonts w:asciiTheme="majorBidi" w:hAnsiTheme="majorBidi" w:cstheme="majorBidi"/>
          <w:vertAlign w:val="superscript"/>
        </w:rPr>
        <w:footnoteReference w:id="9"/>
      </w:r>
    </w:p>
    <w:p w14:paraId="23FAC9A4" w14:textId="77777777" w:rsidR="009021F0" w:rsidRDefault="009021F0" w:rsidP="009021F0">
      <w:pPr>
        <w:spacing w:after="0"/>
        <w:rPr>
          <w:rFonts w:asciiTheme="majorBidi" w:hAnsiTheme="majorBidi" w:cstheme="majorBidi"/>
          <w:b/>
          <w:bCs/>
        </w:rPr>
      </w:pPr>
    </w:p>
    <w:p w14:paraId="67166FF1" w14:textId="77777777" w:rsidR="009021F0" w:rsidRDefault="009021F0" w:rsidP="009021F0">
      <w:pPr>
        <w:spacing w:after="0"/>
        <w:rPr>
          <w:rFonts w:asciiTheme="majorBidi" w:hAnsiTheme="majorBidi" w:cstheme="majorBidi"/>
        </w:rPr>
      </w:pPr>
      <w:proofErr w:type="spellStart"/>
      <w:r w:rsidRPr="00FD4FA3">
        <w:rPr>
          <w:rFonts w:asciiTheme="majorBidi" w:hAnsiTheme="majorBidi" w:cstheme="majorBidi"/>
        </w:rPr>
        <w:t>Badr</w:t>
      </w:r>
      <w:proofErr w:type="spellEnd"/>
      <w:r w:rsidRPr="00FD4FA3">
        <w:rPr>
          <w:rFonts w:asciiTheme="majorBidi" w:hAnsiTheme="majorBidi" w:cstheme="majorBidi"/>
        </w:rPr>
        <w:t xml:space="preserve"> ad-</w:t>
      </w:r>
      <w:proofErr w:type="spellStart"/>
      <w:r w:rsidRPr="00FD4FA3">
        <w:rPr>
          <w:rFonts w:asciiTheme="majorBidi" w:hAnsiTheme="majorBidi" w:cstheme="majorBidi"/>
        </w:rPr>
        <w:t>Dīn</w:t>
      </w:r>
      <w:proofErr w:type="spellEnd"/>
      <w:r w:rsidRPr="00FD4FA3">
        <w:rPr>
          <w:rFonts w:asciiTheme="majorBidi" w:hAnsiTheme="majorBidi" w:cstheme="majorBidi"/>
        </w:rPr>
        <w:t xml:space="preserve"> al-</w:t>
      </w:r>
      <w:proofErr w:type="spellStart"/>
      <w:r w:rsidRPr="00FD4FA3">
        <w:rPr>
          <w:rFonts w:asciiTheme="majorBidi" w:hAnsiTheme="majorBidi" w:cstheme="majorBidi"/>
        </w:rPr>
        <w:t>ʿAynī</w:t>
      </w:r>
      <w:proofErr w:type="spellEnd"/>
      <w:r w:rsidRPr="00FD4FA3">
        <w:rPr>
          <w:rFonts w:asciiTheme="majorBidi" w:hAnsiTheme="majorBidi" w:cstheme="majorBidi"/>
        </w:rPr>
        <w:t xml:space="preserve"> </w:t>
      </w:r>
      <w:r>
        <w:rPr>
          <w:rFonts w:asciiTheme="majorBidi" w:hAnsiTheme="majorBidi" w:cstheme="majorBidi"/>
        </w:rPr>
        <w:t>führt eine weitere Möglichkeit der H</w:t>
      </w:r>
      <w:r w:rsidRPr="00FD4FA3">
        <w:rPr>
          <w:rFonts w:asciiTheme="majorBidi" w:hAnsiTheme="majorBidi" w:cstheme="majorBidi"/>
        </w:rPr>
        <w:t>armonisier</w:t>
      </w:r>
      <w:r>
        <w:rPr>
          <w:rFonts w:asciiTheme="majorBidi" w:hAnsiTheme="majorBidi" w:cstheme="majorBidi"/>
        </w:rPr>
        <w:t>ung auf:</w:t>
      </w:r>
      <w:r w:rsidRPr="00FD4FA3">
        <w:rPr>
          <w:rFonts w:asciiTheme="majorBidi" w:hAnsiTheme="majorBidi" w:cstheme="majorBidi"/>
        </w:rPr>
        <w:t xml:space="preserve"> </w:t>
      </w:r>
    </w:p>
    <w:p w14:paraId="62D168CF" w14:textId="77777777" w:rsidR="009021F0" w:rsidRPr="00FD4FA3" w:rsidRDefault="009021F0" w:rsidP="009021F0">
      <w:pPr>
        <w:spacing w:after="0"/>
        <w:rPr>
          <w:rFonts w:asciiTheme="majorBidi" w:hAnsiTheme="majorBidi" w:cstheme="majorBidi"/>
        </w:rPr>
      </w:pPr>
      <w:r w:rsidRPr="00FD4FA3">
        <w:rPr>
          <w:rFonts w:asciiTheme="majorBidi" w:hAnsiTheme="majorBidi" w:cstheme="majorBidi"/>
        </w:rPr>
        <w:t>Zeiträume für die Erlaubnis und Verbot</w:t>
      </w:r>
      <w:r>
        <w:rPr>
          <w:rFonts w:asciiTheme="majorBidi" w:hAnsiTheme="majorBidi" w:cstheme="majorBidi"/>
        </w:rPr>
        <w:t>, also: Kontext entscheidend</w:t>
      </w:r>
      <w:r w:rsidRPr="00FD4FA3">
        <w:rPr>
          <w:rFonts w:asciiTheme="majorBidi" w:hAnsiTheme="majorBidi" w:cstheme="majorBidi"/>
        </w:rPr>
        <w:t xml:space="preserve">:  </w:t>
      </w:r>
      <w:r>
        <w:rPr>
          <w:rFonts w:asciiTheme="majorBidi" w:hAnsiTheme="majorBidi" w:cstheme="majorBidi"/>
        </w:rPr>
        <w:br/>
      </w:r>
    </w:p>
    <w:p w14:paraId="16AEBB7F" w14:textId="77777777" w:rsidR="009021F0" w:rsidRPr="00B11ACD" w:rsidRDefault="009021F0" w:rsidP="009021F0">
      <w:pPr>
        <w:spacing w:after="0"/>
        <w:jc w:val="right"/>
        <w:rPr>
          <w:rFonts w:ascii="Arabic Typesetting" w:hAnsi="Arabic Typesetting" w:cs="Arabic Typesetting"/>
          <w:sz w:val="30"/>
          <w:szCs w:val="30"/>
        </w:rPr>
      </w:pPr>
      <w:r w:rsidRPr="00B11ACD">
        <w:rPr>
          <w:rFonts w:ascii="Arabic Typesetting" w:hAnsi="Arabic Typesetting" w:cs="Arabic Typesetting"/>
          <w:sz w:val="30"/>
          <w:szCs w:val="30"/>
          <w:rtl/>
        </w:rPr>
        <w:t>الجواب الثاني: أن ذلك كان قبل شروعه – صلى الله عليه وسلم – في الخطبة، وقد بوب النسائي في “سننه الكبرى” على حديث سليك، قال: “باب الصلاة قبل الخطبة” ثم أخرج عن أبي الزبير عن جابر قال: جاء سليك الغطفاني، ورسول الله – صلى الله عليه وسلم – قاعد على المنبر، فقعد سليك قبل أن يصلي، فقال له رسول الله – صلى الله عليه وسلم -: أركعت ركعتين؟ قال: لا، قال: قم فاركعهما</w:t>
      </w:r>
    </w:p>
    <w:p w14:paraId="485BB900" w14:textId="77777777" w:rsidR="009021F0" w:rsidRDefault="009021F0" w:rsidP="009021F0">
      <w:pPr>
        <w:spacing w:after="0"/>
        <w:rPr>
          <w:rFonts w:asciiTheme="majorBidi" w:hAnsiTheme="majorBidi" w:cstheme="majorBidi"/>
        </w:rPr>
      </w:pPr>
      <w:r>
        <w:rPr>
          <w:rFonts w:asciiTheme="majorBidi" w:hAnsiTheme="majorBidi" w:cstheme="majorBidi"/>
        </w:rPr>
        <w:lastRenderedPageBreak/>
        <w:t>„</w:t>
      </w:r>
      <w:r w:rsidRPr="00FD4FA3">
        <w:rPr>
          <w:rFonts w:asciiTheme="majorBidi" w:hAnsiTheme="majorBidi" w:cstheme="majorBidi"/>
        </w:rPr>
        <w:t>Zweite Antwort: Dies geschah, bevor der Prophet</w:t>
      </w:r>
      <w:r>
        <w:rPr>
          <w:rFonts w:asciiTheme="majorBidi" w:hAnsiTheme="majorBidi" w:cstheme="majorBidi"/>
        </w:rPr>
        <w:t xml:space="preserve"> </w:t>
      </w:r>
      <w:r w:rsidRPr="00FD4FA3">
        <w:rPr>
          <w:rFonts w:asciiTheme="majorBidi" w:hAnsiTheme="majorBidi" w:cstheme="majorBidi"/>
        </w:rPr>
        <w:t xml:space="preserve">tatsächlich mit der </w:t>
      </w:r>
      <w:proofErr w:type="spellStart"/>
      <w:r w:rsidRPr="00FD4FA3">
        <w:rPr>
          <w:rFonts w:asciiTheme="majorBidi" w:hAnsiTheme="majorBidi" w:cstheme="majorBidi"/>
        </w:rPr>
        <w:t>Khutbah</w:t>
      </w:r>
      <w:proofErr w:type="spellEnd"/>
      <w:r w:rsidRPr="00FD4FA3">
        <w:rPr>
          <w:rFonts w:asciiTheme="majorBidi" w:hAnsiTheme="majorBidi" w:cstheme="majorBidi"/>
        </w:rPr>
        <w:t xml:space="preserve"> begonnen hatte. An-</w:t>
      </w:r>
      <w:proofErr w:type="spellStart"/>
      <w:r w:rsidRPr="00FD4FA3">
        <w:rPr>
          <w:rFonts w:asciiTheme="majorBidi" w:hAnsiTheme="majorBidi" w:cstheme="majorBidi"/>
        </w:rPr>
        <w:t>Nasāʾī</w:t>
      </w:r>
      <w:proofErr w:type="spellEnd"/>
      <w:r w:rsidRPr="00FD4FA3">
        <w:rPr>
          <w:rFonts w:asciiTheme="majorBidi" w:hAnsiTheme="majorBidi" w:cstheme="majorBidi"/>
        </w:rPr>
        <w:t xml:space="preserve"> habe deshalb in seinem Werk ein Kapitel über „Das Gebet vor der </w:t>
      </w:r>
      <w:proofErr w:type="spellStart"/>
      <w:r w:rsidRPr="00FD4FA3">
        <w:rPr>
          <w:rFonts w:asciiTheme="majorBidi" w:hAnsiTheme="majorBidi" w:cstheme="majorBidi"/>
        </w:rPr>
        <w:t>Khutbah</w:t>
      </w:r>
      <w:proofErr w:type="spellEnd"/>
      <w:r w:rsidRPr="00FD4FA3">
        <w:rPr>
          <w:rFonts w:asciiTheme="majorBidi" w:hAnsiTheme="majorBidi" w:cstheme="majorBidi"/>
        </w:rPr>
        <w:t xml:space="preserve">“ eingerichtet und den Hadith über </w:t>
      </w:r>
      <w:proofErr w:type="spellStart"/>
      <w:r w:rsidRPr="00FD4FA3">
        <w:rPr>
          <w:rFonts w:asciiTheme="majorBidi" w:hAnsiTheme="majorBidi" w:cstheme="majorBidi"/>
        </w:rPr>
        <w:t>Sulayk</w:t>
      </w:r>
      <w:proofErr w:type="spellEnd"/>
      <w:r w:rsidRPr="00FD4FA3">
        <w:rPr>
          <w:rFonts w:asciiTheme="majorBidi" w:hAnsiTheme="majorBidi" w:cstheme="majorBidi"/>
        </w:rPr>
        <w:t xml:space="preserve"> angeführt, in dem der Prophet </w:t>
      </w:r>
      <w:r w:rsidRPr="00FD4FA3">
        <w:rPr>
          <w:rFonts w:asciiTheme="majorBidi" w:hAnsiTheme="majorBidi" w:cstheme="majorBidi"/>
          <w:rtl/>
        </w:rPr>
        <w:t xml:space="preserve">ﷺ </w:t>
      </w:r>
      <w:r w:rsidRPr="00FD4FA3">
        <w:rPr>
          <w:rFonts w:asciiTheme="majorBidi" w:hAnsiTheme="majorBidi" w:cstheme="majorBidi"/>
        </w:rPr>
        <w:t xml:space="preserve">auf der Kanzel saß und </w:t>
      </w:r>
      <w:proofErr w:type="spellStart"/>
      <w:r w:rsidRPr="00FD4FA3">
        <w:rPr>
          <w:rFonts w:asciiTheme="majorBidi" w:hAnsiTheme="majorBidi" w:cstheme="majorBidi"/>
        </w:rPr>
        <w:t>Sulayk</w:t>
      </w:r>
      <w:proofErr w:type="spellEnd"/>
      <w:r w:rsidRPr="00FD4FA3">
        <w:rPr>
          <w:rFonts w:asciiTheme="majorBidi" w:hAnsiTheme="majorBidi" w:cstheme="majorBidi"/>
        </w:rPr>
        <w:t xml:space="preserve"> aufforderte, die zwei </w:t>
      </w:r>
      <w:proofErr w:type="spellStart"/>
      <w:r w:rsidRPr="00FD4FA3">
        <w:rPr>
          <w:rFonts w:asciiTheme="majorBidi" w:hAnsiTheme="majorBidi" w:cstheme="majorBidi"/>
        </w:rPr>
        <w:t>Rakʿah</w:t>
      </w:r>
      <w:proofErr w:type="spellEnd"/>
      <w:r w:rsidRPr="00FD4FA3">
        <w:rPr>
          <w:rFonts w:asciiTheme="majorBidi" w:hAnsiTheme="majorBidi" w:cstheme="majorBidi"/>
        </w:rPr>
        <w:t xml:space="preserve"> zu beten.</w:t>
      </w:r>
      <w:r>
        <w:rPr>
          <w:rFonts w:asciiTheme="majorBidi" w:hAnsiTheme="majorBidi" w:cstheme="majorBidi"/>
        </w:rPr>
        <w:t>“</w:t>
      </w:r>
      <w:r w:rsidRPr="00EE1041">
        <w:rPr>
          <w:rFonts w:asciiTheme="majorBidi" w:hAnsiTheme="majorBidi" w:cstheme="majorBidi"/>
          <w:vertAlign w:val="superscript"/>
        </w:rPr>
        <w:footnoteReference w:id="10"/>
      </w:r>
    </w:p>
    <w:p w14:paraId="01D501E1" w14:textId="77777777" w:rsidR="009021F0" w:rsidRDefault="009021F0" w:rsidP="009021F0">
      <w:pPr>
        <w:spacing w:after="0"/>
        <w:rPr>
          <w:rFonts w:asciiTheme="majorBidi" w:hAnsiTheme="majorBidi" w:cstheme="majorBidi"/>
        </w:rPr>
      </w:pPr>
    </w:p>
    <w:p w14:paraId="63B5D626" w14:textId="77777777" w:rsidR="009021F0" w:rsidRDefault="009021F0" w:rsidP="009021F0">
      <w:pPr>
        <w:spacing w:after="0"/>
        <w:rPr>
          <w:rFonts w:asciiTheme="majorBidi" w:hAnsiTheme="majorBidi" w:cstheme="majorBidi"/>
          <w:sz w:val="22"/>
          <w:szCs w:val="22"/>
        </w:rPr>
      </w:pPr>
    </w:p>
    <w:p w14:paraId="51E55F99" w14:textId="77777777" w:rsidR="009021F0" w:rsidRPr="005F31D5" w:rsidRDefault="009021F0" w:rsidP="009021F0">
      <w:pPr>
        <w:spacing w:after="0"/>
        <w:rPr>
          <w:rFonts w:asciiTheme="majorBidi" w:hAnsiTheme="majorBidi" w:cstheme="majorBidi"/>
          <w:color w:val="0070C0"/>
          <w:sz w:val="22"/>
          <w:szCs w:val="22"/>
        </w:rPr>
      </w:pPr>
      <w:r w:rsidRPr="005F31D5">
        <w:rPr>
          <w:rFonts w:asciiTheme="majorBidi" w:hAnsiTheme="majorBidi" w:cstheme="majorBidi"/>
          <w:color w:val="0070C0"/>
          <w:sz w:val="22"/>
          <w:szCs w:val="22"/>
        </w:rPr>
        <w:t xml:space="preserve">Ziel dieser Abhandlung </w:t>
      </w:r>
      <w:r w:rsidRPr="005F31D5">
        <w:rPr>
          <w:rFonts w:asciiTheme="majorBidi" w:hAnsiTheme="majorBidi" w:cstheme="majorBidi"/>
          <w:i/>
          <w:iCs/>
          <w:color w:val="0070C0"/>
          <w:sz w:val="22"/>
          <w:szCs w:val="22"/>
        </w:rPr>
        <w:t xml:space="preserve">Der </w:t>
      </w:r>
      <w:proofErr w:type="spellStart"/>
      <w:r w:rsidRPr="005F31D5">
        <w:rPr>
          <w:rFonts w:asciiTheme="majorBidi" w:hAnsiTheme="majorBidi" w:cstheme="majorBidi"/>
          <w:i/>
          <w:iCs/>
          <w:color w:val="0070C0"/>
          <w:sz w:val="22"/>
          <w:szCs w:val="22"/>
        </w:rPr>
        <w:t>Khutbah</w:t>
      </w:r>
      <w:proofErr w:type="spellEnd"/>
      <w:r w:rsidRPr="005F31D5">
        <w:rPr>
          <w:rFonts w:asciiTheme="majorBidi" w:hAnsiTheme="majorBidi" w:cstheme="majorBidi"/>
          <w:i/>
          <w:iCs/>
          <w:color w:val="0070C0"/>
          <w:sz w:val="22"/>
          <w:szCs w:val="22"/>
        </w:rPr>
        <w:t xml:space="preserve"> zuhören oder das Moscheebegrüßungsgebet verrichten?</w:t>
      </w:r>
      <w:r w:rsidRPr="005F31D5">
        <w:rPr>
          <w:rFonts w:asciiTheme="majorBidi" w:hAnsiTheme="majorBidi" w:cstheme="majorBidi"/>
          <w:b/>
          <w:bCs/>
          <w:color w:val="0070C0"/>
          <w:sz w:val="22"/>
          <w:szCs w:val="22"/>
        </w:rPr>
        <w:t xml:space="preserve"> </w:t>
      </w:r>
      <w:r w:rsidRPr="005F31D5">
        <w:rPr>
          <w:rFonts w:asciiTheme="majorBidi" w:hAnsiTheme="majorBidi" w:cstheme="majorBidi"/>
          <w:color w:val="0070C0"/>
          <w:sz w:val="22"/>
          <w:szCs w:val="22"/>
        </w:rPr>
        <w:t xml:space="preserve">ist nicht, eine der Auffassungen zu bevorzugen. Vielmehr geht es darum aufzuzeigen, dass unsere Großgelehrten aufgrund einer mehrdeutigen Quellenlage jeweils durch ihre Auslegungs-Systematik zu verschiedenen Ergebnissen kommen können, ja müssen. Gegenseitiger Respekt ist hier angebracht, keine Verurteilung. </w:t>
      </w:r>
    </w:p>
    <w:p w14:paraId="679161B9" w14:textId="77777777" w:rsidR="009021F0" w:rsidRPr="005F31D5" w:rsidRDefault="009021F0" w:rsidP="009021F0">
      <w:p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Zur Erinnerung: Unser Imam An-</w:t>
      </w:r>
      <w:proofErr w:type="spellStart"/>
      <w:r w:rsidRPr="005F31D5">
        <w:rPr>
          <w:rFonts w:asciiTheme="majorBidi" w:hAnsiTheme="majorBidi" w:cstheme="majorBidi"/>
          <w:color w:val="0070C0"/>
          <w:sz w:val="22"/>
          <w:szCs w:val="22"/>
        </w:rPr>
        <w:t>Nawawi</w:t>
      </w:r>
      <w:proofErr w:type="spellEnd"/>
      <w:r w:rsidRPr="005F31D5">
        <w:rPr>
          <w:rFonts w:asciiTheme="majorBidi" w:hAnsiTheme="majorBidi" w:cstheme="majorBidi"/>
          <w:color w:val="0070C0"/>
          <w:sz w:val="22"/>
          <w:szCs w:val="22"/>
        </w:rPr>
        <w:t xml:space="preserve"> erklärt in einem seiner Meisterwerke, dem Kommentar zu </w:t>
      </w:r>
      <w:proofErr w:type="spellStart"/>
      <w:r w:rsidRPr="005F31D5">
        <w:rPr>
          <w:rFonts w:asciiTheme="majorBidi" w:hAnsiTheme="majorBidi" w:cstheme="majorBidi"/>
          <w:color w:val="0070C0"/>
          <w:sz w:val="22"/>
          <w:szCs w:val="22"/>
        </w:rPr>
        <w:t>Ṣaḥīḥ</w:t>
      </w:r>
      <w:proofErr w:type="spellEnd"/>
      <w:r w:rsidRPr="005F31D5">
        <w:rPr>
          <w:rFonts w:asciiTheme="majorBidi" w:hAnsiTheme="majorBidi" w:cstheme="majorBidi"/>
          <w:color w:val="0070C0"/>
          <w:sz w:val="22"/>
          <w:szCs w:val="22"/>
        </w:rPr>
        <w:t xml:space="preserve"> Muslim im Buch über den </w:t>
      </w:r>
      <w:proofErr w:type="spellStart"/>
      <w:r w:rsidRPr="005F31D5">
        <w:rPr>
          <w:rFonts w:asciiTheme="majorBidi" w:hAnsiTheme="majorBidi" w:cstheme="majorBidi"/>
          <w:color w:val="0070C0"/>
          <w:sz w:val="22"/>
          <w:szCs w:val="22"/>
        </w:rPr>
        <w:t>Iimaan</w:t>
      </w:r>
      <w:proofErr w:type="spellEnd"/>
      <w:r w:rsidRPr="005F31D5">
        <w:rPr>
          <w:rFonts w:asciiTheme="majorBidi" w:hAnsiTheme="majorBidi" w:cstheme="majorBidi"/>
          <w:color w:val="0070C0"/>
          <w:sz w:val="22"/>
          <w:szCs w:val="22"/>
        </w:rPr>
        <w:t>, bei der Ausführung des 99. Hadith</w:t>
      </w:r>
      <w:r w:rsidRPr="005F31D5">
        <w:rPr>
          <w:rFonts w:asciiTheme="majorBidi" w:hAnsiTheme="majorBidi" w:cstheme="majorBidi"/>
          <w:color w:val="0070C0"/>
          <w:sz w:val="22"/>
          <w:szCs w:val="22"/>
          <w:vertAlign w:val="superscript"/>
        </w:rPr>
        <w:footnoteReference w:id="11"/>
      </w:r>
      <w:r w:rsidRPr="005F31D5">
        <w:rPr>
          <w:rFonts w:asciiTheme="majorBidi" w:hAnsiTheme="majorBidi" w:cstheme="majorBidi"/>
          <w:color w:val="0070C0"/>
          <w:sz w:val="22"/>
          <w:szCs w:val="22"/>
        </w:rPr>
        <w:t xml:space="preserve">: </w:t>
      </w:r>
    </w:p>
    <w:p w14:paraId="4F5EDAAF" w14:textId="77777777" w:rsidR="009021F0" w:rsidRPr="005F31D5" w:rsidRDefault="009021F0" w:rsidP="009021F0">
      <w:pPr>
        <w:spacing w:after="0" w:line="240" w:lineRule="auto"/>
        <w:rPr>
          <w:rFonts w:asciiTheme="majorBidi" w:hAnsiTheme="majorBidi" w:cstheme="majorBidi"/>
          <w:color w:val="0070C0"/>
        </w:rPr>
      </w:pPr>
    </w:p>
    <w:p w14:paraId="04F85BAC"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Geboten und verboten werden darf nur in Angelegenheiten, über die man das nötige Wissen besitzt. Bei offenkundigen Pflichten und bekannten Verboten betrifft dies alle Muslime.</w:t>
      </w:r>
      <w:r w:rsidRPr="005F31D5">
        <w:rPr>
          <w:rStyle w:val="Funotenzeichen"/>
          <w:rFonts w:asciiTheme="majorBidi" w:hAnsiTheme="majorBidi" w:cstheme="majorBidi"/>
          <w:color w:val="0070C0"/>
          <w:sz w:val="22"/>
          <w:szCs w:val="22"/>
        </w:rPr>
        <w:footnoteReference w:id="12"/>
      </w:r>
      <w:r w:rsidRPr="005F31D5">
        <w:rPr>
          <w:rFonts w:asciiTheme="majorBidi" w:hAnsiTheme="majorBidi" w:cstheme="majorBidi"/>
          <w:color w:val="0070C0"/>
          <w:sz w:val="22"/>
          <w:szCs w:val="22"/>
        </w:rPr>
        <w:t xml:space="preserve"> </w:t>
      </w:r>
      <w:r w:rsidRPr="005F31D5">
        <w:rPr>
          <w:rFonts w:asciiTheme="majorBidi" w:hAnsiTheme="majorBidi" w:cstheme="majorBidi"/>
          <w:color w:val="0070C0"/>
          <w:sz w:val="22"/>
          <w:szCs w:val="22"/>
        </w:rPr>
        <w:br/>
      </w:r>
    </w:p>
    <w:p w14:paraId="46E17EC5"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 xml:space="preserve">Bei umstrittenen Detailfragen und Angelegenheiten des </w:t>
      </w:r>
      <w:proofErr w:type="spellStart"/>
      <w:r w:rsidRPr="005F31D5">
        <w:rPr>
          <w:rFonts w:asciiTheme="majorBidi" w:hAnsiTheme="majorBidi" w:cstheme="majorBidi"/>
          <w:color w:val="0070C0"/>
          <w:sz w:val="22"/>
          <w:szCs w:val="22"/>
        </w:rPr>
        <w:t>Iǧtihād</w:t>
      </w:r>
      <w:proofErr w:type="spellEnd"/>
      <w:r w:rsidRPr="005F31D5">
        <w:rPr>
          <w:rFonts w:asciiTheme="majorBidi" w:hAnsiTheme="majorBidi" w:cstheme="majorBidi"/>
          <w:color w:val="0070C0"/>
          <w:sz w:val="22"/>
          <w:szCs w:val="22"/>
        </w:rPr>
        <w:t xml:space="preserve"> hingegen steht die Beurteilung und Missbilligung nur den Gelehrten zu.</w:t>
      </w:r>
      <w:r w:rsidRPr="005F31D5">
        <w:rPr>
          <w:rFonts w:asciiTheme="majorBidi" w:hAnsiTheme="majorBidi" w:cstheme="majorBidi"/>
          <w:color w:val="0070C0"/>
          <w:sz w:val="22"/>
          <w:szCs w:val="22"/>
          <w:vertAlign w:val="superscript"/>
        </w:rPr>
        <w:footnoteReference w:id="13"/>
      </w:r>
      <w:r w:rsidRPr="005F31D5">
        <w:rPr>
          <w:rFonts w:asciiTheme="majorBidi" w:hAnsiTheme="majorBidi" w:cstheme="majorBidi"/>
          <w:color w:val="0070C0"/>
          <w:sz w:val="22"/>
          <w:szCs w:val="22"/>
        </w:rPr>
        <w:br/>
      </w:r>
    </w:p>
    <w:p w14:paraId="53C928A0" w14:textId="77777777" w:rsidR="009021F0" w:rsidRPr="005F31D5" w:rsidRDefault="009021F0" w:rsidP="009021F0">
      <w:pPr>
        <w:spacing w:after="0" w:line="240" w:lineRule="auto"/>
        <w:jc w:val="right"/>
        <w:rPr>
          <w:rFonts w:ascii="Traditional Arabic" w:hAnsi="Traditional Arabic" w:cs="Traditional Arabic"/>
          <w:color w:val="0070C0"/>
          <w:sz w:val="32"/>
          <w:szCs w:val="32"/>
        </w:rPr>
      </w:pPr>
      <w:r w:rsidRPr="005F31D5">
        <w:rPr>
          <w:rFonts w:ascii="Traditional Arabic" w:hAnsi="Traditional Arabic" w:cs="Traditional Arabic" w:hint="cs"/>
          <w:color w:val="0070C0"/>
          <w:sz w:val="32"/>
          <w:szCs w:val="32"/>
          <w:rtl/>
        </w:rPr>
        <w:t>ثُمَّ الْعُلَمَاءُ إِنَّمَا يُنْكِرُونَ مَا أُجْمِعَ عَلَيْهِ</w:t>
      </w:r>
    </w:p>
    <w:p w14:paraId="672872E4"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rPr>
      </w:pPr>
      <w:r w:rsidRPr="005F31D5">
        <w:rPr>
          <w:rFonts w:asciiTheme="majorBidi" w:hAnsiTheme="majorBidi" w:cstheme="majorBidi"/>
          <w:color w:val="0070C0"/>
          <w:sz w:val="22"/>
          <w:szCs w:val="22"/>
        </w:rPr>
        <w:t>Die Gelehrten wiederum missbilligen nur das, worüber Konsens (</w:t>
      </w:r>
      <w:proofErr w:type="spellStart"/>
      <w:r w:rsidRPr="005F31D5">
        <w:rPr>
          <w:rFonts w:asciiTheme="majorBidi" w:hAnsiTheme="majorBidi" w:cstheme="majorBidi"/>
          <w:color w:val="0070C0"/>
          <w:sz w:val="22"/>
          <w:szCs w:val="22"/>
        </w:rPr>
        <w:t>Iǧmāʿ</w:t>
      </w:r>
      <w:proofErr w:type="spellEnd"/>
      <w:r w:rsidRPr="005F31D5">
        <w:rPr>
          <w:rFonts w:asciiTheme="majorBidi" w:hAnsiTheme="majorBidi" w:cstheme="majorBidi"/>
          <w:color w:val="0070C0"/>
          <w:sz w:val="22"/>
          <w:szCs w:val="22"/>
        </w:rPr>
        <w:t xml:space="preserve">) besteht. </w:t>
      </w:r>
      <w:r w:rsidRPr="005F31D5">
        <w:rPr>
          <w:rFonts w:asciiTheme="majorBidi" w:hAnsiTheme="majorBidi" w:cstheme="majorBidi"/>
          <w:color w:val="0070C0"/>
          <w:sz w:val="22"/>
          <w:szCs w:val="22"/>
        </w:rPr>
        <w:br/>
      </w:r>
    </w:p>
    <w:p w14:paraId="15CC7CD5" w14:textId="77777777" w:rsidR="009021F0" w:rsidRPr="005F31D5" w:rsidRDefault="009021F0" w:rsidP="009021F0">
      <w:pPr>
        <w:spacing w:after="0" w:line="240" w:lineRule="auto"/>
        <w:jc w:val="right"/>
        <w:rPr>
          <w:rFonts w:ascii="Traditional Arabic" w:hAnsi="Traditional Arabic" w:cs="Traditional Arabic"/>
          <w:color w:val="0070C0"/>
          <w:sz w:val="32"/>
          <w:szCs w:val="32"/>
        </w:rPr>
      </w:pPr>
      <w:r w:rsidRPr="005F31D5">
        <w:rPr>
          <w:rFonts w:ascii="Traditional Arabic" w:hAnsi="Traditional Arabic" w:cs="Traditional Arabic"/>
          <w:color w:val="0070C0"/>
          <w:sz w:val="32"/>
          <w:szCs w:val="32"/>
          <w:rtl/>
        </w:rPr>
        <w:t>عَلَيْهِ أَمَّا الْمُخْتَلَفُ فِيهِ فَلَا إِنْكَارَ فِيهِ لِأَنَّ عَلَى أَحَدِ الْمَذْهَبَيْنِ كُلُّ مُجْتَهِدٍ مُصِيبٌ</w:t>
      </w:r>
      <w:r w:rsidRPr="005F31D5">
        <w:rPr>
          <w:rFonts w:ascii="Traditional Arabic" w:hAnsi="Traditional Arabic" w:cs="Traditional Arabic"/>
          <w:color w:val="0070C0"/>
          <w:sz w:val="32"/>
          <w:szCs w:val="32"/>
        </w:rPr>
        <w:t xml:space="preserve"> .</w:t>
      </w:r>
      <w:r w:rsidRPr="005F31D5">
        <w:rPr>
          <w:rFonts w:ascii="Traditional Arabic" w:hAnsi="Traditional Arabic" w:cs="Traditional Arabic"/>
          <w:color w:val="0070C0"/>
          <w:sz w:val="32"/>
          <w:szCs w:val="32"/>
        </w:rPr>
        <w:br/>
      </w:r>
      <w:r w:rsidRPr="005F31D5">
        <w:rPr>
          <w:rFonts w:ascii="Traditional Arabic" w:hAnsi="Traditional Arabic" w:cs="Traditional Arabic"/>
          <w:color w:val="0070C0"/>
          <w:sz w:val="32"/>
          <w:szCs w:val="32"/>
          <w:rtl/>
        </w:rPr>
        <w:t>وَهَذَا هُوَ الْمُخْتَارُ عِنْدَ كَثِيرِينَ مِنَ الْمُحَقِّقِينَ أَوْ أَكْثَرِهِمْ</w:t>
      </w:r>
      <w:r w:rsidRPr="005F31D5">
        <w:rPr>
          <w:rFonts w:ascii="Traditional Arabic" w:hAnsi="Traditional Arabic" w:cs="Traditional Arabic"/>
          <w:color w:val="0070C0"/>
          <w:sz w:val="32"/>
          <w:szCs w:val="32"/>
        </w:rPr>
        <w:t xml:space="preserve"> .</w:t>
      </w:r>
      <w:r w:rsidRPr="005F31D5">
        <w:rPr>
          <w:rFonts w:ascii="Traditional Arabic" w:hAnsi="Traditional Arabic" w:cs="Traditional Arabic"/>
          <w:color w:val="0070C0"/>
          <w:sz w:val="32"/>
          <w:szCs w:val="32"/>
        </w:rPr>
        <w:br/>
      </w:r>
      <w:r w:rsidRPr="005F31D5">
        <w:rPr>
          <w:rFonts w:ascii="Traditional Arabic" w:hAnsi="Traditional Arabic" w:cs="Traditional Arabic"/>
          <w:color w:val="0070C0"/>
          <w:sz w:val="32"/>
          <w:szCs w:val="32"/>
          <w:rtl/>
        </w:rPr>
        <w:t>وَعَلَى الْمَذْهَبِ الْآخَرِ الْمُصِيبُ وَاحِدٌ وَالْمُخْطِئُ غَيْرُ مُتَعَيَّنٌ لَنَا ، وَالْإِثْمُ مَرْفُوعٌ عَنْهُ</w:t>
      </w:r>
    </w:p>
    <w:p w14:paraId="60DDAF59"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 xml:space="preserve">Was jedoch Gegenstand einer Meinungsverschiedenheit ist, wird nicht missbilligt, denn nach einer der beiden Lehrmeinungen ist jeder </w:t>
      </w:r>
      <w:proofErr w:type="spellStart"/>
      <w:r w:rsidRPr="005F31D5">
        <w:rPr>
          <w:rFonts w:asciiTheme="majorBidi" w:hAnsiTheme="majorBidi" w:cstheme="majorBidi"/>
          <w:color w:val="0070C0"/>
          <w:sz w:val="22"/>
          <w:szCs w:val="22"/>
        </w:rPr>
        <w:t>Mujtahid</w:t>
      </w:r>
      <w:proofErr w:type="spellEnd"/>
      <w:r w:rsidRPr="005F31D5">
        <w:rPr>
          <w:rFonts w:asciiTheme="majorBidi" w:hAnsiTheme="majorBidi" w:cstheme="majorBidi"/>
          <w:color w:val="0070C0"/>
          <w:sz w:val="22"/>
          <w:szCs w:val="22"/>
        </w:rPr>
        <w:t xml:space="preserve"> im Recht. Dies ist die von vielen, beziehungsweise den meisten, der maßgeblichen Gelehrten bevorzugte Ansicht. Nach der anderen Lehrmeinung ist nur einer im Recht, während für uns nicht feststellbar ist, wer derjenige ist, der sich geirrt hat. Die Sünde ist von ihm aufgehoben. </w:t>
      </w:r>
      <w:r w:rsidRPr="005F31D5">
        <w:rPr>
          <w:rFonts w:asciiTheme="majorBidi" w:hAnsiTheme="majorBidi" w:cstheme="majorBidi"/>
          <w:color w:val="0070C0"/>
          <w:sz w:val="22"/>
          <w:szCs w:val="22"/>
        </w:rPr>
        <w:br/>
      </w:r>
    </w:p>
    <w:p w14:paraId="339CDD79" w14:textId="77777777" w:rsidR="009021F0" w:rsidRPr="005F31D5" w:rsidRDefault="009021F0" w:rsidP="009021F0">
      <w:pPr>
        <w:spacing w:after="0" w:line="240" w:lineRule="auto"/>
        <w:jc w:val="right"/>
        <w:rPr>
          <w:rFonts w:ascii="Traditional Arabic" w:hAnsi="Traditional Arabic" w:cs="Traditional Arabic"/>
          <w:color w:val="0070C0"/>
          <w:sz w:val="32"/>
          <w:szCs w:val="32"/>
        </w:rPr>
      </w:pPr>
      <w:r w:rsidRPr="005F31D5">
        <w:rPr>
          <w:rFonts w:asciiTheme="majorBidi" w:hAnsiTheme="majorBidi" w:cstheme="majorBidi"/>
          <w:color w:val="0070C0"/>
          <w:rtl/>
        </w:rPr>
        <w:t>لَكِنْ إِنْ نَدَبَهُ عَلَى جِهَةِ النَّصِيحَةِ إِلَى الْخُرُوجِ مِنَ الْخِلَافِ فَهُوَ حَسَنٌ مَحْبُوبٌ مَنْدُوبٌ إِلَى فِعْلِهِ بِرِفْقٍ ; فَإِنَّ الْعُلَمَاءَ</w:t>
      </w:r>
      <w:r w:rsidRPr="005F31D5">
        <w:rPr>
          <w:rFonts w:ascii="Traditional Arabic" w:hAnsi="Traditional Arabic" w:cs="Traditional Arabic"/>
          <w:color w:val="0070C0"/>
          <w:sz w:val="32"/>
          <w:szCs w:val="32"/>
          <w:rtl/>
        </w:rPr>
        <w:t xml:space="preserve"> مُتَّفِقُونَ عَلَى الْحَثِّ عَلَى الْخُرُوجِ مِنَ الْخِلَافِ إِذَا لَمْ يَلْزَمْ مِنْهُ إِخْلَالٌ بِسُنَّةٍ أَوْ وُقُوعٍ فِي خِلَافٍ آخَر</w:t>
      </w:r>
    </w:p>
    <w:p w14:paraId="23E93344"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 xml:space="preserve">Wenn man in Form eines Ratschlags dazu ermuntert, eine Meinungsverschiedenheit zu umgehen, so ist dies gut, lobenswert und empfohlen, sofern dies mit Sanftmut geschieht. Denn die Gelehrten sind sich darin einig, dazu anzuhalten, eine Meinungsverschiedenheit zu </w:t>
      </w:r>
      <w:r w:rsidRPr="005F31D5">
        <w:rPr>
          <w:rFonts w:asciiTheme="majorBidi" w:hAnsiTheme="majorBidi" w:cstheme="majorBidi"/>
          <w:color w:val="0070C0"/>
          <w:sz w:val="22"/>
          <w:szCs w:val="22"/>
        </w:rPr>
        <w:lastRenderedPageBreak/>
        <w:t xml:space="preserve">umgehen, sofern daraus nicht das Aufgeben einer </w:t>
      </w:r>
      <w:proofErr w:type="spellStart"/>
      <w:r w:rsidRPr="005F31D5">
        <w:rPr>
          <w:rFonts w:asciiTheme="majorBidi" w:hAnsiTheme="majorBidi" w:cstheme="majorBidi"/>
          <w:color w:val="0070C0"/>
          <w:sz w:val="22"/>
          <w:szCs w:val="22"/>
        </w:rPr>
        <w:t>Sunnah</w:t>
      </w:r>
      <w:proofErr w:type="spellEnd"/>
      <w:r w:rsidRPr="005F31D5">
        <w:rPr>
          <w:rFonts w:asciiTheme="majorBidi" w:hAnsiTheme="majorBidi" w:cstheme="majorBidi"/>
          <w:color w:val="0070C0"/>
          <w:sz w:val="22"/>
          <w:szCs w:val="22"/>
        </w:rPr>
        <w:t xml:space="preserve"> oder das Hineingeraten in eine andere Meinungsverschiedenheit resultiert.</w:t>
      </w:r>
      <w:r w:rsidRPr="005F31D5">
        <w:rPr>
          <w:rFonts w:asciiTheme="majorBidi" w:hAnsiTheme="majorBidi" w:cstheme="majorBidi"/>
          <w:color w:val="0070C0"/>
          <w:sz w:val="22"/>
          <w:szCs w:val="22"/>
        </w:rPr>
        <w:br/>
      </w:r>
    </w:p>
    <w:p w14:paraId="4460760B" w14:textId="77777777" w:rsidR="009021F0" w:rsidRPr="005F31D5" w:rsidRDefault="009021F0" w:rsidP="009021F0">
      <w:pPr>
        <w:spacing w:after="0" w:line="240" w:lineRule="auto"/>
        <w:jc w:val="right"/>
        <w:rPr>
          <w:rFonts w:ascii="Traditional Arabic" w:hAnsi="Traditional Arabic" w:cs="Traditional Arabic"/>
          <w:color w:val="0070C0"/>
          <w:sz w:val="32"/>
          <w:szCs w:val="32"/>
        </w:rPr>
      </w:pPr>
      <w:r w:rsidRPr="005F31D5">
        <w:rPr>
          <w:rFonts w:ascii="Traditional Arabic" w:hAnsi="Traditional Arabic" w:cs="Traditional Arabic"/>
          <w:color w:val="0070C0"/>
          <w:sz w:val="32"/>
          <w:szCs w:val="32"/>
          <w:rtl/>
        </w:rPr>
        <w:t>وَلَمْ يَزَلِ الْخِلَافُ فِي الْفُرُوعِ بَيْنَ الصَّحَابَةِ وَالتَّابِعِينَ فَمَنْ بَعْدَهُمْ - رَضِيَ اللَّهُ عَنْهُمْ - أَجْمَعِينَ</w:t>
      </w:r>
    </w:p>
    <w:p w14:paraId="439D62A1" w14:textId="318F7008" w:rsidR="009021F0" w:rsidRPr="005F31D5" w:rsidRDefault="009021F0" w:rsidP="009021F0">
      <w:pPr>
        <w:pStyle w:val="Listenabsatz"/>
        <w:numPr>
          <w:ilvl w:val="0"/>
          <w:numId w:val="21"/>
        </w:numPr>
        <w:spacing w:after="0" w:line="240" w:lineRule="auto"/>
        <w:rPr>
          <w:rFonts w:ascii="Traditional Arabic" w:hAnsi="Traditional Arabic" w:cs="Traditional Arabic"/>
          <w:color w:val="0070C0"/>
          <w:sz w:val="22"/>
          <w:szCs w:val="22"/>
        </w:rPr>
      </w:pPr>
      <w:r w:rsidRPr="005F31D5">
        <w:rPr>
          <w:rFonts w:asciiTheme="majorBidi" w:hAnsiTheme="majorBidi" w:cstheme="majorBidi"/>
          <w:color w:val="0070C0"/>
          <w:sz w:val="22"/>
          <w:szCs w:val="22"/>
        </w:rPr>
        <w:t>Die Meinungsverschiedenheit in den rechtlichen Einzelheiten (</w:t>
      </w:r>
      <w:proofErr w:type="spellStart"/>
      <w:r w:rsidRPr="005F31D5">
        <w:rPr>
          <w:rFonts w:asciiTheme="majorBidi" w:hAnsiTheme="majorBidi" w:cstheme="majorBidi"/>
          <w:color w:val="0070C0"/>
          <w:sz w:val="22"/>
          <w:szCs w:val="22"/>
        </w:rPr>
        <w:t>furūʿ</w:t>
      </w:r>
      <w:proofErr w:type="spellEnd"/>
      <w:r w:rsidRPr="005F31D5">
        <w:rPr>
          <w:rFonts w:asciiTheme="majorBidi" w:hAnsiTheme="majorBidi" w:cstheme="majorBidi"/>
          <w:color w:val="0070C0"/>
          <w:sz w:val="22"/>
          <w:szCs w:val="22"/>
        </w:rPr>
        <w:t xml:space="preserve">) bestand schon immer zwischen den Gefährten, den </w:t>
      </w:r>
      <w:proofErr w:type="spellStart"/>
      <w:r w:rsidRPr="005F31D5">
        <w:rPr>
          <w:rFonts w:asciiTheme="majorBidi" w:hAnsiTheme="majorBidi" w:cstheme="majorBidi"/>
          <w:color w:val="0070C0"/>
          <w:sz w:val="22"/>
          <w:szCs w:val="22"/>
        </w:rPr>
        <w:t>Tābiʿūn</w:t>
      </w:r>
      <w:proofErr w:type="spellEnd"/>
      <w:r w:rsidRPr="005F31D5">
        <w:rPr>
          <w:rFonts w:asciiTheme="majorBidi" w:hAnsiTheme="majorBidi" w:cstheme="majorBidi"/>
          <w:color w:val="0070C0"/>
          <w:sz w:val="22"/>
          <w:szCs w:val="22"/>
        </w:rPr>
        <w:t xml:space="preserve"> und denjenigen, die nach ihnen kamen – möge Allah mit ihnen allen zufrieden sein.</w:t>
      </w:r>
      <w:r w:rsidR="005F31D5">
        <w:rPr>
          <w:rFonts w:asciiTheme="majorBidi" w:hAnsiTheme="majorBidi" w:cstheme="majorBidi"/>
          <w:color w:val="0070C0"/>
          <w:sz w:val="22"/>
          <w:szCs w:val="22"/>
        </w:rPr>
        <w:br/>
      </w:r>
    </w:p>
    <w:p w14:paraId="07DDA424" w14:textId="77777777" w:rsidR="009021F0" w:rsidRPr="005F31D5" w:rsidRDefault="009021F0" w:rsidP="009021F0">
      <w:pPr>
        <w:spacing w:after="0" w:line="240" w:lineRule="auto"/>
        <w:jc w:val="right"/>
        <w:rPr>
          <w:rFonts w:ascii="Traditional Arabic" w:hAnsi="Traditional Arabic" w:cs="Traditional Arabic"/>
          <w:color w:val="0070C0"/>
          <w:sz w:val="32"/>
          <w:szCs w:val="32"/>
        </w:rPr>
      </w:pPr>
      <w:r w:rsidRPr="005F31D5">
        <w:rPr>
          <w:rFonts w:ascii="Traditional Arabic" w:hAnsi="Traditional Arabic" w:cs="Traditional Arabic"/>
          <w:color w:val="0070C0"/>
          <w:sz w:val="32"/>
          <w:szCs w:val="32"/>
          <w:rtl/>
        </w:rPr>
        <w:t>وَاللَّهُ أَعْلَمُ</w:t>
      </w:r>
    </w:p>
    <w:p w14:paraId="5CEEB0E6" w14:textId="77777777" w:rsidR="009021F0" w:rsidRPr="005F31D5" w:rsidRDefault="009021F0" w:rsidP="009021F0">
      <w:pPr>
        <w:pStyle w:val="Listenabsatz"/>
        <w:numPr>
          <w:ilvl w:val="0"/>
          <w:numId w:val="21"/>
        </w:numPr>
        <w:spacing w:after="0" w:line="240" w:lineRule="auto"/>
        <w:rPr>
          <w:rFonts w:asciiTheme="majorBidi" w:hAnsiTheme="majorBidi" w:cstheme="majorBidi"/>
          <w:color w:val="0070C0"/>
          <w:sz w:val="22"/>
          <w:szCs w:val="22"/>
        </w:rPr>
      </w:pPr>
      <w:r w:rsidRPr="005F31D5">
        <w:rPr>
          <w:rFonts w:asciiTheme="majorBidi" w:hAnsiTheme="majorBidi" w:cstheme="majorBidi"/>
          <w:color w:val="0070C0"/>
          <w:sz w:val="22"/>
          <w:szCs w:val="22"/>
        </w:rPr>
        <w:t>Und Allah weiß es am besten.</w:t>
      </w:r>
    </w:p>
    <w:p w14:paraId="42A45465" w14:textId="77777777" w:rsidR="009021F0" w:rsidRDefault="009021F0" w:rsidP="00A9360F">
      <w:pPr>
        <w:spacing w:after="0"/>
        <w:rPr>
          <w:rFonts w:ascii="Times New Roman" w:hAnsi="Times New Roman" w:cs="Times New Roman"/>
          <w:b/>
          <w:bCs/>
        </w:rPr>
      </w:pPr>
    </w:p>
    <w:p w14:paraId="6A31306F" w14:textId="77777777" w:rsidR="009021F0" w:rsidRDefault="009021F0" w:rsidP="00A9360F">
      <w:pPr>
        <w:spacing w:after="0"/>
        <w:rPr>
          <w:rFonts w:ascii="Times New Roman" w:hAnsi="Times New Roman" w:cs="Times New Roman"/>
          <w:b/>
          <w:bCs/>
        </w:rPr>
      </w:pPr>
    </w:p>
    <w:p w14:paraId="77B090C3" w14:textId="3DF0650C" w:rsidR="00EA0947" w:rsidRDefault="001C5F70" w:rsidP="00F45A9C">
      <w:pPr>
        <w:spacing w:after="0"/>
        <w:rPr>
          <w:rFonts w:ascii="Times New Roman" w:hAnsi="Times New Roman" w:cs="Times New Roman"/>
          <w:sz w:val="22"/>
          <w:szCs w:val="22"/>
        </w:rPr>
      </w:pPr>
      <w:r w:rsidRPr="00EA0947">
        <w:rPr>
          <w:rFonts w:ascii="Times New Roman" w:hAnsi="Times New Roman" w:cs="Times New Roman"/>
          <w:sz w:val="22"/>
          <w:szCs w:val="22"/>
        </w:rPr>
        <w:t xml:space="preserve">In der Absicht die </w:t>
      </w:r>
      <w:proofErr w:type="spellStart"/>
      <w:r w:rsidRPr="00EA0947">
        <w:rPr>
          <w:rFonts w:ascii="Times New Roman" w:hAnsi="Times New Roman" w:cs="Times New Roman"/>
          <w:sz w:val="22"/>
          <w:szCs w:val="22"/>
        </w:rPr>
        <w:t>Ummah</w:t>
      </w:r>
      <w:proofErr w:type="spellEnd"/>
      <w:r w:rsidRPr="00EA0947">
        <w:rPr>
          <w:rFonts w:ascii="Times New Roman" w:hAnsi="Times New Roman" w:cs="Times New Roman"/>
          <w:sz w:val="22"/>
          <w:szCs w:val="22"/>
        </w:rPr>
        <w:t xml:space="preserve"> zu einigen und untereinander zu versöhnen sowie meine Mängel anerkennend</w:t>
      </w:r>
      <w:bookmarkStart w:id="2" w:name="_Hlk200544893"/>
    </w:p>
    <w:p w14:paraId="54648DA5" w14:textId="77777777" w:rsidR="00DA050C" w:rsidRDefault="00DA050C" w:rsidP="00F45A9C">
      <w:pPr>
        <w:spacing w:after="0"/>
        <w:rPr>
          <w:rFonts w:ascii="Times New Roman" w:hAnsi="Times New Roman" w:cs="Times New Roman"/>
          <w:sz w:val="22"/>
          <w:szCs w:val="22"/>
        </w:rPr>
      </w:pPr>
    </w:p>
    <w:p w14:paraId="59A8219C" w14:textId="0B708BD1" w:rsidR="00A127A1" w:rsidRPr="00FE68DD" w:rsidRDefault="00942E7B" w:rsidP="00F45A9C">
      <w:pPr>
        <w:spacing w:after="0"/>
        <w:rPr>
          <w:rFonts w:ascii="Times New Roman" w:hAnsi="Times New Roman" w:cs="Times New Roman"/>
          <w:b/>
          <w:bCs/>
        </w:rPr>
      </w:pPr>
      <w:r>
        <w:rPr>
          <w:rFonts w:ascii="Brush Script MT" w:hAnsi="Brush Script MT" w:cs="Papyrus"/>
          <w:color w:val="4472C4" w:themeColor="accent1"/>
          <w:sz w:val="40"/>
          <w:szCs w:val="40"/>
          <w:lang w:val="en-US"/>
        </w:rPr>
        <w:t xml:space="preserve">Mohammed </w:t>
      </w:r>
      <w:proofErr w:type="spellStart"/>
      <w:r>
        <w:rPr>
          <w:rFonts w:ascii="Brush Script MT" w:hAnsi="Brush Script MT" w:cs="Papyrus"/>
          <w:color w:val="4472C4" w:themeColor="accent1"/>
          <w:sz w:val="40"/>
          <w:szCs w:val="40"/>
          <w:lang w:val="en-US"/>
        </w:rPr>
        <w:t>Naved</w:t>
      </w:r>
      <w:proofErr w:type="spellEnd"/>
      <w:r>
        <w:rPr>
          <w:rFonts w:ascii="Brush Script MT" w:hAnsi="Brush Script MT" w:cs="Papyrus"/>
          <w:color w:val="4472C4" w:themeColor="accent1"/>
          <w:sz w:val="40"/>
          <w:szCs w:val="40"/>
          <w:lang w:val="en-US"/>
        </w:rPr>
        <w:t xml:space="preserve"> Johari</w:t>
      </w:r>
      <w:r>
        <w:rPr>
          <w:rFonts w:ascii="Calibri" w:hAnsi="Calibri" w:cs="Calibri"/>
          <w:color w:val="000000"/>
        </w:rPr>
        <w:br/>
      </w:r>
      <w:bookmarkEnd w:id="2"/>
    </w:p>
    <w:sectPr w:rsidR="00A127A1" w:rsidRPr="00FE68DD" w:rsidSect="008E3CEC">
      <w:headerReference w:type="default" r:id="rId9"/>
      <w:headerReference w:type="first" r:id="rId10"/>
      <w:foot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0C26" w14:textId="77777777" w:rsidR="009404CB" w:rsidRDefault="009404CB" w:rsidP="003416E6">
      <w:pPr>
        <w:spacing w:after="0" w:line="240" w:lineRule="auto"/>
      </w:pPr>
      <w:r>
        <w:separator/>
      </w:r>
    </w:p>
  </w:endnote>
  <w:endnote w:type="continuationSeparator" w:id="0">
    <w:p w14:paraId="21B84A19" w14:textId="77777777" w:rsidR="009404CB" w:rsidRDefault="009404CB" w:rsidP="0034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charset w:val="B2"/>
    <w:family w:val="script"/>
    <w:pitch w:val="variable"/>
    <w:sig w:usb0="80002007" w:usb1="80000000" w:usb2="00000008" w:usb3="00000000" w:csb0="000000D3" w:csb1="00000000"/>
  </w:font>
  <w:font w:name="Traditional Arabic">
    <w:charset w:val="B2"/>
    <w:family w:val="roman"/>
    <w:pitch w:val="variable"/>
    <w:sig w:usb0="00002003" w:usb1="80000000" w:usb2="00000008" w:usb3="00000000" w:csb0="00000041" w:csb1="00000000"/>
  </w:font>
  <w:font w:name="Brush Script MT">
    <w:panose1 w:val="03060802040406070304"/>
    <w:charset w:val="00"/>
    <w:family w:val="script"/>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426021"/>
      <w:docPartObj>
        <w:docPartGallery w:val="Page Numbers (Bottom of Page)"/>
        <w:docPartUnique/>
      </w:docPartObj>
    </w:sdtPr>
    <w:sdtContent>
      <w:p w14:paraId="4F5CB771" w14:textId="5A307DA1" w:rsidR="008E3CEC" w:rsidRDefault="008E3CEC">
        <w:pPr>
          <w:pStyle w:val="Fuzeile"/>
          <w:jc w:val="right"/>
        </w:pPr>
        <w:r>
          <w:fldChar w:fldCharType="begin"/>
        </w:r>
        <w:r>
          <w:instrText>PAGE   \* MERGEFORMAT</w:instrText>
        </w:r>
        <w:r>
          <w:fldChar w:fldCharType="separate"/>
        </w:r>
        <w:r>
          <w:t>2</w:t>
        </w:r>
        <w:r>
          <w:fldChar w:fldCharType="end"/>
        </w:r>
        <w:r>
          <w:t xml:space="preserve"> von </w:t>
        </w:r>
        <w:r w:rsidR="009021F0">
          <w:t>6</w:t>
        </w:r>
      </w:p>
    </w:sdtContent>
  </w:sdt>
  <w:p w14:paraId="06D865CC" w14:textId="77777777" w:rsidR="008E3CEC" w:rsidRDefault="008E3C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665B" w14:textId="77777777" w:rsidR="009404CB" w:rsidRDefault="009404CB" w:rsidP="003416E6">
      <w:pPr>
        <w:spacing w:after="0" w:line="240" w:lineRule="auto"/>
      </w:pPr>
      <w:r>
        <w:separator/>
      </w:r>
    </w:p>
  </w:footnote>
  <w:footnote w:type="continuationSeparator" w:id="0">
    <w:p w14:paraId="405B140A" w14:textId="77777777" w:rsidR="009404CB" w:rsidRDefault="009404CB" w:rsidP="003416E6">
      <w:pPr>
        <w:spacing w:after="0" w:line="240" w:lineRule="auto"/>
      </w:pPr>
      <w:r>
        <w:continuationSeparator/>
      </w:r>
    </w:p>
  </w:footnote>
  <w:footnote w:id="1">
    <w:p w14:paraId="4C054DC2"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rPr>
        <w:t xml:space="preserve"> In: https://islamqa.org/hanafi/askimam/126765/praying-two-rakah-tahiyyatul-masjid-upon-entering-the-masjid-during-the-jumuah-khutbah/?utm_source=chatgpt.com</w:t>
      </w:r>
    </w:p>
  </w:footnote>
  <w:footnote w:id="2">
    <w:p w14:paraId="0284DC07"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rPr>
        <w:t xml:space="preserve"> Kommentar an-</w:t>
      </w:r>
      <w:proofErr w:type="spellStart"/>
      <w:r w:rsidRPr="00DD7E30">
        <w:rPr>
          <w:rFonts w:asciiTheme="majorBidi" w:hAnsiTheme="majorBidi" w:cstheme="majorBidi"/>
          <w:sz w:val="20"/>
          <w:szCs w:val="20"/>
        </w:rPr>
        <w:t>Nawawīs</w:t>
      </w:r>
      <w:proofErr w:type="spellEnd"/>
      <w:r w:rsidRPr="00DD7E30">
        <w:rPr>
          <w:rFonts w:asciiTheme="majorBidi" w:hAnsiTheme="majorBidi" w:cstheme="majorBidi"/>
          <w:sz w:val="20"/>
          <w:szCs w:val="20"/>
        </w:rPr>
        <w:t xml:space="preserve"> zu </w:t>
      </w:r>
      <w:proofErr w:type="spellStart"/>
      <w:r w:rsidRPr="00DD7E30">
        <w:rPr>
          <w:rFonts w:asciiTheme="majorBidi" w:hAnsiTheme="majorBidi" w:cstheme="majorBidi"/>
          <w:sz w:val="20"/>
          <w:szCs w:val="20"/>
        </w:rPr>
        <w:t>Ṣaḥīḥ</w:t>
      </w:r>
      <w:proofErr w:type="spellEnd"/>
      <w:r w:rsidRPr="00DD7E30">
        <w:rPr>
          <w:rFonts w:asciiTheme="majorBidi" w:hAnsiTheme="majorBidi" w:cstheme="majorBidi"/>
          <w:sz w:val="20"/>
          <w:szCs w:val="20"/>
        </w:rPr>
        <w:t xml:space="preserve"> Muslim (6/471), in: https://www.islamweb.net</w:t>
      </w:r>
    </w:p>
  </w:footnote>
  <w:footnote w:id="3">
    <w:p w14:paraId="3DF9B622" w14:textId="77777777" w:rsidR="009021F0" w:rsidRPr="00DD7E30" w:rsidRDefault="009021F0" w:rsidP="009021F0">
      <w:pPr>
        <w:spacing w:after="0" w:line="240" w:lineRule="auto"/>
        <w:rPr>
          <w:rFonts w:asciiTheme="majorBidi" w:hAnsiTheme="majorBidi" w:cstheme="majorBidi"/>
          <w:sz w:val="20"/>
          <w:szCs w:val="20"/>
        </w:rPr>
      </w:pPr>
      <w:r w:rsidRPr="00DD7E30">
        <w:rPr>
          <w:rStyle w:val="Funotenzeichen"/>
          <w:rFonts w:asciiTheme="majorBidi" w:hAnsiTheme="majorBidi" w:cstheme="majorBidi"/>
          <w:sz w:val="20"/>
          <w:szCs w:val="20"/>
        </w:rPr>
        <w:footnoteRef/>
      </w:r>
      <w:r w:rsidRPr="00DD7E30">
        <w:rPr>
          <w:rFonts w:asciiTheme="majorBidi" w:hAnsiTheme="majorBidi" w:cstheme="majorBidi"/>
          <w:sz w:val="20"/>
          <w:szCs w:val="20"/>
        </w:rPr>
        <w:t xml:space="preserve"> Nachzulesen u.a. in: (</w:t>
      </w:r>
      <w:r w:rsidRPr="00DD7E30">
        <w:rPr>
          <w:rFonts w:asciiTheme="majorBidi" w:hAnsiTheme="majorBidi" w:cstheme="majorBidi"/>
          <w:sz w:val="20"/>
          <w:szCs w:val="20"/>
          <w:rtl/>
        </w:rPr>
        <w:t>المبسوط السرخسي</w:t>
      </w:r>
      <w:r w:rsidRPr="00DD7E30">
        <w:rPr>
          <w:rFonts w:asciiTheme="majorBidi" w:hAnsiTheme="majorBidi" w:cstheme="majorBidi"/>
          <w:sz w:val="20"/>
          <w:szCs w:val="20"/>
        </w:rPr>
        <w:t>), in: https://ar.wikisource.org</w:t>
      </w:r>
    </w:p>
  </w:footnote>
  <w:footnote w:id="4">
    <w:p w14:paraId="2FCD1C08"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rPr>
        <w:t xml:space="preserve"> Kommentar an-</w:t>
      </w:r>
      <w:proofErr w:type="spellStart"/>
      <w:r w:rsidRPr="00DD7E30">
        <w:rPr>
          <w:rFonts w:asciiTheme="majorBidi" w:hAnsiTheme="majorBidi" w:cstheme="majorBidi"/>
          <w:sz w:val="20"/>
          <w:szCs w:val="20"/>
        </w:rPr>
        <w:t>Nawawīs</w:t>
      </w:r>
      <w:proofErr w:type="spellEnd"/>
      <w:r w:rsidRPr="00DD7E30">
        <w:rPr>
          <w:rFonts w:asciiTheme="majorBidi" w:hAnsiTheme="majorBidi" w:cstheme="majorBidi"/>
          <w:sz w:val="20"/>
          <w:szCs w:val="20"/>
        </w:rPr>
        <w:t xml:space="preserve"> zu </w:t>
      </w:r>
      <w:proofErr w:type="spellStart"/>
      <w:r w:rsidRPr="00DD7E30">
        <w:rPr>
          <w:rFonts w:asciiTheme="majorBidi" w:hAnsiTheme="majorBidi" w:cstheme="majorBidi"/>
          <w:sz w:val="20"/>
          <w:szCs w:val="20"/>
        </w:rPr>
        <w:t>Ṣaḥīḥ</w:t>
      </w:r>
      <w:proofErr w:type="spellEnd"/>
      <w:r w:rsidRPr="00DD7E30">
        <w:rPr>
          <w:rFonts w:asciiTheme="majorBidi" w:hAnsiTheme="majorBidi" w:cstheme="majorBidi"/>
          <w:sz w:val="20"/>
          <w:szCs w:val="20"/>
        </w:rPr>
        <w:t xml:space="preserve"> Muslim (6/471), in: https://www.islamweb.net</w:t>
      </w:r>
    </w:p>
  </w:footnote>
  <w:footnote w:id="5">
    <w:p w14:paraId="6AB93C0A" w14:textId="77777777" w:rsidR="009021F0" w:rsidRPr="00DD7E30" w:rsidRDefault="009021F0" w:rsidP="009021F0">
      <w:pPr>
        <w:pStyle w:val="Funotentext"/>
        <w:rPr>
          <w:rFonts w:asciiTheme="majorBidi" w:hAnsiTheme="majorBidi" w:cstheme="majorBidi"/>
        </w:rPr>
      </w:pPr>
      <w:r w:rsidRPr="00DD7E30">
        <w:rPr>
          <w:rStyle w:val="Funotenzeichen"/>
          <w:rFonts w:asciiTheme="majorBidi" w:hAnsiTheme="majorBidi" w:cstheme="majorBidi"/>
        </w:rPr>
        <w:footnoteRef/>
      </w:r>
      <w:r w:rsidRPr="00DD7E30">
        <w:rPr>
          <w:rFonts w:asciiTheme="majorBidi" w:hAnsiTheme="majorBidi" w:cstheme="majorBidi"/>
        </w:rPr>
        <w:t xml:space="preserve"> (</w:t>
      </w:r>
      <w:r w:rsidRPr="00DD7E30">
        <w:rPr>
          <w:rFonts w:asciiTheme="majorBidi" w:hAnsiTheme="majorBidi" w:cstheme="majorBidi"/>
          <w:rtl/>
        </w:rPr>
        <w:t>المبسوط السرخسي</w:t>
      </w:r>
      <w:r w:rsidRPr="00DD7E30">
        <w:rPr>
          <w:rFonts w:asciiTheme="majorBidi" w:hAnsiTheme="majorBidi" w:cstheme="majorBidi"/>
        </w:rPr>
        <w:t>), Seite 29, in: https://ar.wikisource.org</w:t>
      </w:r>
    </w:p>
  </w:footnote>
  <w:footnote w:id="6">
    <w:p w14:paraId="5F41435E" w14:textId="77777777" w:rsidR="009021F0" w:rsidRPr="00DD7E30" w:rsidRDefault="009021F0" w:rsidP="009021F0">
      <w:pPr>
        <w:pStyle w:val="Funotentext"/>
        <w:rPr>
          <w:rFonts w:asciiTheme="majorBidi" w:hAnsiTheme="majorBidi" w:cstheme="majorBidi"/>
        </w:rPr>
      </w:pPr>
      <w:r w:rsidRPr="00DD7E30">
        <w:rPr>
          <w:rStyle w:val="Funotenzeichen"/>
          <w:rFonts w:asciiTheme="majorBidi" w:hAnsiTheme="majorBidi" w:cstheme="majorBidi"/>
        </w:rPr>
        <w:footnoteRef/>
      </w:r>
      <w:r w:rsidRPr="00DD7E30">
        <w:rPr>
          <w:rFonts w:asciiTheme="majorBidi" w:hAnsiTheme="majorBidi" w:cstheme="majorBidi"/>
        </w:rPr>
        <w:t xml:space="preserve"> Gemeint: diejenigen, die absolutes Zuhören als Gebot verstehen und daher kein Begrüßungsgebet als erlaubt betrachten</w:t>
      </w:r>
    </w:p>
  </w:footnote>
  <w:footnote w:id="7">
    <w:p w14:paraId="65C25107"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rPr>
        <w:t xml:space="preserve"> Die Eulogien „möge </w:t>
      </w:r>
      <w:proofErr w:type="gramStart"/>
      <w:r>
        <w:rPr>
          <w:rFonts w:asciiTheme="majorBidi" w:hAnsiTheme="majorBidi" w:cstheme="majorBidi"/>
          <w:sz w:val="20"/>
          <w:szCs w:val="20"/>
        </w:rPr>
        <w:t xml:space="preserve">ALLAAH </w:t>
      </w:r>
      <w:r w:rsidRPr="00DD7E30">
        <w:rPr>
          <w:rFonts w:asciiTheme="majorBidi" w:hAnsiTheme="majorBidi" w:cstheme="majorBidi"/>
          <w:sz w:val="20"/>
          <w:szCs w:val="20"/>
        </w:rPr>
        <w:t xml:space="preserve"> sich</w:t>
      </w:r>
      <w:proofErr w:type="gramEnd"/>
      <w:r w:rsidRPr="00DD7E30">
        <w:rPr>
          <w:rFonts w:asciiTheme="majorBidi" w:hAnsiTheme="majorBidi" w:cstheme="majorBidi"/>
          <w:sz w:val="20"/>
          <w:szCs w:val="20"/>
        </w:rPr>
        <w:t xml:space="preserve"> seiner/ihrer/ihnen erbarmen!“ die nach der Erwähnung von verstorbenen, rechtschaffenen oder gelehrten Personen ausgesprochen werden, werden im weiteren Verlauf des Textes mit </w:t>
      </w:r>
      <w:bookmarkStart w:id="1" w:name="_Hlk237733194"/>
      <w:r w:rsidRPr="00DD7E30">
        <w:rPr>
          <w:rFonts w:asciiTheme="majorBidi" w:hAnsiTheme="majorBidi" w:cstheme="majorBidi"/>
          <w:sz w:val="20"/>
          <w:szCs w:val="20"/>
          <w:vertAlign w:val="superscript"/>
        </w:rPr>
        <w:t>(r)</w:t>
      </w:r>
      <w:r w:rsidRPr="00DD7E30">
        <w:rPr>
          <w:rFonts w:asciiTheme="majorBidi" w:hAnsiTheme="majorBidi" w:cstheme="majorBidi"/>
          <w:sz w:val="20"/>
          <w:szCs w:val="20"/>
        </w:rPr>
        <w:t xml:space="preserve"> </w:t>
      </w:r>
      <w:bookmarkEnd w:id="1"/>
      <w:r w:rsidRPr="00DD7E30">
        <w:rPr>
          <w:rFonts w:asciiTheme="majorBidi" w:hAnsiTheme="majorBidi" w:cstheme="majorBidi"/>
          <w:sz w:val="20"/>
          <w:szCs w:val="20"/>
        </w:rPr>
        <w:t xml:space="preserve">abgekürzt oder im arabischen Wortlaut hochgestellt wiedergegeben. </w:t>
      </w:r>
      <w:r w:rsidRPr="00DD7E30">
        <w:rPr>
          <w:rFonts w:asciiTheme="majorBidi" w:hAnsiTheme="majorBidi" w:cstheme="majorBidi"/>
          <w:sz w:val="20"/>
          <w:szCs w:val="20"/>
          <w:vertAlign w:val="superscript"/>
        </w:rPr>
        <w:t>(</w:t>
      </w:r>
      <w:r w:rsidRPr="00DD7E30">
        <w:rPr>
          <w:rFonts w:asciiTheme="majorBidi" w:hAnsiTheme="majorBidi" w:cstheme="majorBidi"/>
          <w:sz w:val="20"/>
          <w:szCs w:val="20"/>
          <w:vertAlign w:val="superscript"/>
          <w:rtl/>
        </w:rPr>
        <w:t>رَحِمَهُ اللهُ</w:t>
      </w:r>
      <w:r w:rsidRPr="00DD7E30">
        <w:rPr>
          <w:rFonts w:asciiTheme="majorBidi" w:hAnsiTheme="majorBidi" w:cstheme="majorBidi"/>
          <w:sz w:val="20"/>
          <w:szCs w:val="20"/>
          <w:vertAlign w:val="superscript"/>
        </w:rPr>
        <w:t>) (</w:t>
      </w:r>
      <w:r w:rsidRPr="00DD7E30">
        <w:rPr>
          <w:rFonts w:asciiTheme="majorBidi" w:hAnsiTheme="majorBidi" w:cstheme="majorBidi"/>
          <w:sz w:val="20"/>
          <w:szCs w:val="20"/>
          <w:vertAlign w:val="superscript"/>
          <w:rtl/>
        </w:rPr>
        <w:t>رَحِمَهُنَّ اللهُ</w:t>
      </w:r>
      <w:r w:rsidRPr="00DD7E30">
        <w:rPr>
          <w:rFonts w:asciiTheme="majorBidi" w:hAnsiTheme="majorBidi" w:cstheme="majorBidi"/>
          <w:sz w:val="20"/>
          <w:szCs w:val="20"/>
          <w:vertAlign w:val="superscript"/>
        </w:rPr>
        <w:t>) (</w:t>
      </w:r>
      <w:r w:rsidRPr="00DD7E30">
        <w:rPr>
          <w:rFonts w:asciiTheme="majorBidi" w:hAnsiTheme="majorBidi" w:cstheme="majorBidi"/>
          <w:sz w:val="20"/>
          <w:szCs w:val="20"/>
          <w:vertAlign w:val="superscript"/>
          <w:rtl/>
        </w:rPr>
        <w:t>رَحِمَهُمُ اللهُ</w:t>
      </w:r>
      <w:r w:rsidRPr="00DD7E30">
        <w:rPr>
          <w:rFonts w:asciiTheme="majorBidi" w:hAnsiTheme="majorBidi" w:cstheme="majorBidi"/>
          <w:sz w:val="20"/>
          <w:szCs w:val="20"/>
          <w:vertAlign w:val="superscript"/>
        </w:rPr>
        <w:t>) (</w:t>
      </w:r>
      <w:r w:rsidRPr="00DD7E30">
        <w:rPr>
          <w:rFonts w:asciiTheme="majorBidi" w:hAnsiTheme="majorBidi" w:cstheme="majorBidi"/>
          <w:sz w:val="20"/>
          <w:szCs w:val="20"/>
          <w:vertAlign w:val="superscript"/>
          <w:rtl/>
        </w:rPr>
        <w:t>رَحِمَهَا اللهُ</w:t>
      </w:r>
      <w:r w:rsidRPr="00DD7E30">
        <w:rPr>
          <w:rFonts w:asciiTheme="majorBidi" w:hAnsiTheme="majorBidi" w:cstheme="majorBidi"/>
          <w:sz w:val="20"/>
          <w:szCs w:val="20"/>
          <w:vertAlign w:val="superscript"/>
        </w:rPr>
        <w:t>)</w:t>
      </w:r>
    </w:p>
  </w:footnote>
  <w:footnote w:id="8">
    <w:p w14:paraId="6AAB5840"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vertAlign w:val="superscript"/>
        </w:rPr>
        <w:t xml:space="preserve"> </w:t>
      </w:r>
      <w:r w:rsidRPr="00DD7E30">
        <w:rPr>
          <w:rFonts w:asciiTheme="majorBidi" w:hAnsiTheme="majorBidi" w:cstheme="majorBidi"/>
          <w:sz w:val="20"/>
          <w:szCs w:val="20"/>
        </w:rPr>
        <w:t>Kommentar an-</w:t>
      </w:r>
      <w:proofErr w:type="spellStart"/>
      <w:r w:rsidRPr="00DD7E30">
        <w:rPr>
          <w:rFonts w:asciiTheme="majorBidi" w:hAnsiTheme="majorBidi" w:cstheme="majorBidi"/>
          <w:sz w:val="20"/>
          <w:szCs w:val="20"/>
        </w:rPr>
        <w:t>Nawawīs</w:t>
      </w:r>
      <w:proofErr w:type="spellEnd"/>
      <w:r w:rsidRPr="00DD7E30">
        <w:rPr>
          <w:rFonts w:asciiTheme="majorBidi" w:hAnsiTheme="majorBidi" w:cstheme="majorBidi"/>
          <w:sz w:val="20"/>
          <w:szCs w:val="20"/>
        </w:rPr>
        <w:t xml:space="preserve"> zu </w:t>
      </w:r>
      <w:proofErr w:type="spellStart"/>
      <w:r w:rsidRPr="00DD7E30">
        <w:rPr>
          <w:rFonts w:asciiTheme="majorBidi" w:hAnsiTheme="majorBidi" w:cstheme="majorBidi"/>
          <w:sz w:val="20"/>
          <w:szCs w:val="20"/>
        </w:rPr>
        <w:t>Ṣaḥīḥ</w:t>
      </w:r>
      <w:proofErr w:type="spellEnd"/>
      <w:r w:rsidRPr="00DD7E30">
        <w:rPr>
          <w:rFonts w:asciiTheme="majorBidi" w:hAnsiTheme="majorBidi" w:cstheme="majorBidi"/>
          <w:sz w:val="20"/>
          <w:szCs w:val="20"/>
        </w:rPr>
        <w:t xml:space="preserve"> Muslim (6/471), in: https://www.islamweb.net</w:t>
      </w:r>
    </w:p>
  </w:footnote>
  <w:footnote w:id="9">
    <w:p w14:paraId="4A657FDE"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vertAlign w:val="superscript"/>
        </w:rPr>
        <w:t xml:space="preserve"> </w:t>
      </w:r>
      <w:r w:rsidRPr="00DD7E30">
        <w:rPr>
          <w:rFonts w:asciiTheme="majorBidi" w:hAnsiTheme="majorBidi" w:cstheme="majorBidi"/>
          <w:sz w:val="20"/>
          <w:szCs w:val="20"/>
        </w:rPr>
        <w:t xml:space="preserve">In: </w:t>
      </w:r>
      <w:proofErr w:type="spellStart"/>
      <w:r w:rsidRPr="00DD7E30">
        <w:rPr>
          <w:rFonts w:asciiTheme="majorBidi" w:hAnsiTheme="majorBidi" w:cstheme="majorBidi"/>
          <w:sz w:val="20"/>
          <w:szCs w:val="20"/>
        </w:rPr>
        <w:t>Badr</w:t>
      </w:r>
      <w:proofErr w:type="spellEnd"/>
      <w:r w:rsidRPr="00DD7E30">
        <w:rPr>
          <w:rFonts w:asciiTheme="majorBidi" w:hAnsiTheme="majorBidi" w:cstheme="majorBidi"/>
          <w:sz w:val="20"/>
          <w:szCs w:val="20"/>
        </w:rPr>
        <w:t xml:space="preserve"> ad-</w:t>
      </w:r>
      <w:proofErr w:type="spellStart"/>
      <w:r w:rsidRPr="00DD7E30">
        <w:rPr>
          <w:rFonts w:asciiTheme="majorBidi" w:hAnsiTheme="majorBidi" w:cstheme="majorBidi"/>
          <w:sz w:val="20"/>
          <w:szCs w:val="20"/>
        </w:rPr>
        <w:t>Dīn</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ʿAynī</w:t>
      </w:r>
      <w:proofErr w:type="spellEnd"/>
      <w:r w:rsidRPr="00DD7E30">
        <w:rPr>
          <w:rFonts w:asciiTheme="majorBidi" w:hAnsiTheme="majorBidi" w:cstheme="majorBidi"/>
          <w:sz w:val="20"/>
          <w:szCs w:val="20"/>
        </w:rPr>
        <w:t xml:space="preserve">: </w:t>
      </w:r>
      <w:proofErr w:type="spellStart"/>
      <w:r w:rsidRPr="00DD7E30">
        <w:rPr>
          <w:rFonts w:asciiTheme="majorBidi" w:hAnsiTheme="majorBidi" w:cstheme="majorBidi"/>
          <w:sz w:val="20"/>
          <w:szCs w:val="20"/>
        </w:rPr>
        <w:t>ʿUmdat</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Qārī</w:t>
      </w:r>
      <w:proofErr w:type="spellEnd"/>
      <w:r w:rsidRPr="00DD7E30">
        <w:rPr>
          <w:rFonts w:asciiTheme="majorBidi" w:hAnsiTheme="majorBidi" w:cstheme="majorBidi"/>
          <w:sz w:val="20"/>
          <w:szCs w:val="20"/>
        </w:rPr>
        <w:t xml:space="preserve"> – Kommentar zu </w:t>
      </w:r>
      <w:proofErr w:type="spellStart"/>
      <w:r w:rsidRPr="00DD7E30">
        <w:rPr>
          <w:rFonts w:asciiTheme="majorBidi" w:hAnsiTheme="majorBidi" w:cstheme="majorBidi"/>
          <w:sz w:val="20"/>
          <w:szCs w:val="20"/>
        </w:rPr>
        <w:t>Ṣaḥīḥ</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Buḫārī</w:t>
      </w:r>
      <w:proofErr w:type="spellEnd"/>
      <w:r w:rsidRPr="00DD7E30">
        <w:rPr>
          <w:rFonts w:asciiTheme="majorBidi" w:hAnsiTheme="majorBidi" w:cstheme="majorBidi"/>
          <w:sz w:val="20"/>
          <w:szCs w:val="20"/>
        </w:rPr>
        <w:t>, Band 6, Seite 230, in: https://www.islamweb.net</w:t>
      </w:r>
    </w:p>
  </w:footnote>
  <w:footnote w:id="10">
    <w:p w14:paraId="32E741B7" w14:textId="77777777" w:rsidR="009021F0" w:rsidRPr="00DD7E3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rPr>
        <w:t xml:space="preserve"> </w:t>
      </w:r>
      <w:proofErr w:type="spellStart"/>
      <w:r w:rsidRPr="00DD7E30">
        <w:rPr>
          <w:rFonts w:asciiTheme="majorBidi" w:hAnsiTheme="majorBidi" w:cstheme="majorBidi"/>
          <w:sz w:val="20"/>
          <w:szCs w:val="20"/>
        </w:rPr>
        <w:t>Badr</w:t>
      </w:r>
      <w:proofErr w:type="spellEnd"/>
      <w:r w:rsidRPr="00DD7E30">
        <w:rPr>
          <w:rFonts w:asciiTheme="majorBidi" w:hAnsiTheme="majorBidi" w:cstheme="majorBidi"/>
          <w:sz w:val="20"/>
          <w:szCs w:val="20"/>
        </w:rPr>
        <w:t xml:space="preserve"> ad-</w:t>
      </w:r>
      <w:proofErr w:type="spellStart"/>
      <w:r w:rsidRPr="00DD7E30">
        <w:rPr>
          <w:rFonts w:asciiTheme="majorBidi" w:hAnsiTheme="majorBidi" w:cstheme="majorBidi"/>
          <w:sz w:val="20"/>
          <w:szCs w:val="20"/>
        </w:rPr>
        <w:t>Dīn</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ʿAynī</w:t>
      </w:r>
      <w:proofErr w:type="spellEnd"/>
      <w:r w:rsidRPr="00DD7E30">
        <w:rPr>
          <w:rFonts w:asciiTheme="majorBidi" w:hAnsiTheme="majorBidi" w:cstheme="majorBidi"/>
          <w:sz w:val="20"/>
          <w:szCs w:val="20"/>
        </w:rPr>
        <w:t xml:space="preserve">: </w:t>
      </w:r>
      <w:proofErr w:type="spellStart"/>
      <w:r w:rsidRPr="00DD7E30">
        <w:rPr>
          <w:rFonts w:asciiTheme="majorBidi" w:hAnsiTheme="majorBidi" w:cstheme="majorBidi"/>
          <w:sz w:val="20"/>
          <w:szCs w:val="20"/>
        </w:rPr>
        <w:t>ʿUmdat</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Qārī</w:t>
      </w:r>
      <w:proofErr w:type="spellEnd"/>
      <w:r w:rsidRPr="00DD7E30">
        <w:rPr>
          <w:rFonts w:asciiTheme="majorBidi" w:hAnsiTheme="majorBidi" w:cstheme="majorBidi"/>
          <w:sz w:val="20"/>
          <w:szCs w:val="20"/>
        </w:rPr>
        <w:t xml:space="preserve"> – Kommentar zu </w:t>
      </w:r>
      <w:proofErr w:type="spellStart"/>
      <w:r w:rsidRPr="00DD7E30">
        <w:rPr>
          <w:rFonts w:asciiTheme="majorBidi" w:hAnsiTheme="majorBidi" w:cstheme="majorBidi"/>
          <w:sz w:val="20"/>
          <w:szCs w:val="20"/>
        </w:rPr>
        <w:t>Ṣaḥīḥ</w:t>
      </w:r>
      <w:proofErr w:type="spellEnd"/>
      <w:r w:rsidRPr="00DD7E30">
        <w:rPr>
          <w:rFonts w:asciiTheme="majorBidi" w:hAnsiTheme="majorBidi" w:cstheme="majorBidi"/>
          <w:sz w:val="20"/>
          <w:szCs w:val="20"/>
        </w:rPr>
        <w:t xml:space="preserve"> al-</w:t>
      </w:r>
      <w:proofErr w:type="spellStart"/>
      <w:r w:rsidRPr="00DD7E30">
        <w:rPr>
          <w:rFonts w:asciiTheme="majorBidi" w:hAnsiTheme="majorBidi" w:cstheme="majorBidi"/>
          <w:sz w:val="20"/>
          <w:szCs w:val="20"/>
        </w:rPr>
        <w:t>Buḫārī</w:t>
      </w:r>
      <w:proofErr w:type="spellEnd"/>
      <w:r w:rsidRPr="00DD7E30">
        <w:rPr>
          <w:rFonts w:asciiTheme="majorBidi" w:hAnsiTheme="majorBidi" w:cstheme="majorBidi"/>
          <w:sz w:val="20"/>
          <w:szCs w:val="20"/>
        </w:rPr>
        <w:t>, Band 6, Seite 230, in: https://www.islamweb.net</w:t>
      </w:r>
    </w:p>
  </w:footnote>
  <w:footnote w:id="11">
    <w:p w14:paraId="6CD0C9B1" w14:textId="77777777" w:rsidR="009021F0" w:rsidRPr="00DD7E30" w:rsidRDefault="009021F0" w:rsidP="009021F0">
      <w:pPr>
        <w:spacing w:after="0" w:line="240" w:lineRule="auto"/>
        <w:rPr>
          <w:rFonts w:asciiTheme="majorBidi" w:hAnsiTheme="majorBidi" w:cstheme="majorBidi"/>
          <w:sz w:val="20"/>
          <w:szCs w:val="20"/>
          <w:lang w:val="en-US"/>
        </w:rPr>
      </w:pPr>
      <w:r w:rsidRPr="00DD7E30">
        <w:rPr>
          <w:rFonts w:asciiTheme="majorBidi" w:hAnsiTheme="majorBidi" w:cstheme="majorBidi"/>
          <w:sz w:val="20"/>
          <w:szCs w:val="20"/>
          <w:vertAlign w:val="superscript"/>
        </w:rPr>
        <w:footnoteRef/>
      </w:r>
      <w:r w:rsidRPr="00DD7E30">
        <w:rPr>
          <w:rFonts w:asciiTheme="majorBidi" w:hAnsiTheme="majorBidi" w:cstheme="majorBidi"/>
          <w:sz w:val="20"/>
          <w:szCs w:val="20"/>
          <w:lang w:val="en-US"/>
        </w:rPr>
        <w:t xml:space="preserve"> In: https://hadithportal.com/index.php?all_sharh=full&amp;book=31&amp;h_id=99&amp;sharh=200000&amp;show=hadith&amp;uid=0&amp;utm_source=chatgpt.com</w:t>
      </w:r>
    </w:p>
  </w:footnote>
  <w:footnote w:id="12">
    <w:p w14:paraId="20D67EB1" w14:textId="77777777" w:rsidR="009021F0" w:rsidRPr="00DD7E30" w:rsidRDefault="009021F0" w:rsidP="009021F0">
      <w:pPr>
        <w:pStyle w:val="Funotentext"/>
        <w:rPr>
          <w:rFonts w:asciiTheme="majorBidi" w:hAnsiTheme="majorBidi" w:cstheme="majorBidi"/>
        </w:rPr>
      </w:pPr>
      <w:r w:rsidRPr="00DD7E30">
        <w:rPr>
          <w:rStyle w:val="Funotenzeichen"/>
          <w:rFonts w:asciiTheme="majorBidi" w:hAnsiTheme="majorBidi" w:cstheme="majorBidi"/>
        </w:rPr>
        <w:footnoteRef/>
      </w:r>
      <w:r w:rsidRPr="00DD7E30">
        <w:rPr>
          <w:rFonts w:asciiTheme="majorBidi" w:hAnsiTheme="majorBidi" w:cstheme="majorBidi"/>
        </w:rPr>
        <w:t xml:space="preserve"> Punkt 1 und 2 zusammengefasst aus: </w:t>
      </w:r>
      <w:r w:rsidRPr="00DD7E30">
        <w:rPr>
          <w:rFonts w:asciiTheme="majorBidi" w:hAnsiTheme="majorBidi" w:cstheme="majorBidi"/>
        </w:rPr>
        <w:br/>
        <w:t>(</w:t>
      </w:r>
      <w:r w:rsidRPr="00DD7E30">
        <w:rPr>
          <w:rFonts w:asciiTheme="majorBidi" w:hAnsiTheme="majorBidi" w:cstheme="majorBidi"/>
          <w:rtl/>
        </w:rPr>
        <w:t>ثُمَّ إِنَّهُ إِنَّمَا يَأْمُرُ وَيَنْهَى مَنْ كَانَ عَالِمًا بِمَا يَأْمُرُ بِهِ وَيَنْهَى عَنْهُ ; وَذَلِكَ يَخْتَلِفُ بِاخْتِلَافِ الشَّيْءِ فَإِنْ كَانَ مِنَ الْوَاجِبَاتِ الظَّاهِرَةِ ، وَالْمُحَرَّمَاتِ الْمَشْهُورَةِ كَالصَّلَاةِ وَالصِّيَامِ وَالزِّنَا وَالْخَمْرِ وَنَحْوِهَا ، فَكُلُّ الْمُسْلِمِينَ عُلَمَاءُ بِهَا ، وَإِنْ كَانَ مِنْ دَقَائِقِ الْأَفْعَالِ وَالْأَقْوَالِ وَمِمَّا يَتَعَلَّقُ بِالِاجْتِهَادِ لَمْ يَكُنْ لِلْعَوَامِّ مَدْخَلٌ فِيهِ ، وَلَا لَهُمْ إِنْكَارُهُ ، بَلْ ذَلِكَ لِلْعُلَمَاءِ</w:t>
      </w:r>
      <w:r w:rsidRPr="00DD7E30">
        <w:rPr>
          <w:rFonts w:asciiTheme="majorBidi" w:hAnsiTheme="majorBidi" w:cstheme="majorBidi"/>
        </w:rPr>
        <w:t xml:space="preserve">) </w:t>
      </w:r>
    </w:p>
  </w:footnote>
  <w:footnote w:id="13">
    <w:p w14:paraId="5FC71BA6" w14:textId="77777777" w:rsidR="009021F0" w:rsidRPr="009021F0" w:rsidRDefault="009021F0" w:rsidP="009021F0">
      <w:pPr>
        <w:spacing w:after="0" w:line="240" w:lineRule="auto"/>
        <w:rPr>
          <w:rFonts w:asciiTheme="majorBidi" w:hAnsiTheme="majorBidi" w:cstheme="majorBidi"/>
          <w:sz w:val="20"/>
          <w:szCs w:val="20"/>
        </w:rPr>
      </w:pPr>
      <w:r w:rsidRPr="00DD7E30">
        <w:rPr>
          <w:rFonts w:asciiTheme="majorBidi" w:hAnsiTheme="majorBidi" w:cstheme="majorBidi"/>
          <w:sz w:val="20"/>
          <w:szCs w:val="20"/>
          <w:vertAlign w:val="superscript"/>
        </w:rPr>
        <w:footnoteRef/>
      </w:r>
      <w:r w:rsidRPr="009021F0">
        <w:rPr>
          <w:rFonts w:asciiTheme="majorBidi" w:hAnsiTheme="majorBidi" w:cstheme="majorBidi"/>
          <w:sz w:val="20"/>
          <w:szCs w:val="20"/>
          <w:vertAlign w:val="superscript"/>
        </w:rPr>
        <w:t xml:space="preserve"> </w:t>
      </w:r>
      <w:r w:rsidRPr="009021F0">
        <w:rPr>
          <w:rFonts w:asciiTheme="majorBidi" w:hAnsiTheme="majorBidi" w:cstheme="majorBidi"/>
          <w:sz w:val="20"/>
          <w:szCs w:val="20"/>
        </w:rPr>
        <w:t>Siehe Fußnote oben.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220515677"/>
  <w:p w14:paraId="7309FEFE" w14:textId="74AD411B" w:rsidR="003416E6" w:rsidRDefault="00000000" w:rsidP="008E3CEC">
    <w:pPr>
      <w:spacing w:after="0" w:line="240" w:lineRule="auto"/>
      <w:ind w:left="109" w:right="109"/>
      <w:jc w:val="center"/>
      <w:rPr>
        <w:rFonts w:ascii="Traditional Arabic" w:hAnsi="Traditional Arabic" w:cs="Traditional Arabic"/>
      </w:rPr>
    </w:pPr>
    <w:sdt>
      <w:sdtPr>
        <w:rPr>
          <w:rFonts w:ascii="Traditional Arabic" w:hAnsi="Traditional Arabic" w:cs="Traditional Arabic" w:hint="cs"/>
        </w:rPr>
        <w:id w:val="1589345501"/>
        <w:docPartObj>
          <w:docPartGallery w:val="Page Numbers (Margins)"/>
          <w:docPartUnique/>
        </w:docPartObj>
      </w:sdtPr>
      <w:sdtContent>
        <w:r w:rsidR="00C124EB" w:rsidRPr="00C124EB">
          <w:rPr>
            <w:rFonts w:ascii="Traditional Arabic" w:hAnsi="Traditional Arabic" w:cs="Traditional Arabic"/>
            <w:noProof/>
          </w:rPr>
          <mc:AlternateContent>
            <mc:Choice Requires="wps">
              <w:drawing>
                <wp:anchor distT="0" distB="0" distL="114300" distR="114300" simplePos="0" relativeHeight="251659264" behindDoc="0" locked="0" layoutInCell="0" allowOverlap="1" wp14:anchorId="1CC82B5A" wp14:editId="2F63E0BC">
                  <wp:simplePos x="0" y="0"/>
                  <wp:positionH relativeFrom="rightMargin">
                    <wp:align>center</wp:align>
                  </wp:positionH>
                  <wp:positionV relativeFrom="page">
                    <wp:align>center</wp:align>
                  </wp:positionV>
                  <wp:extent cx="762000" cy="895350"/>
                  <wp:effectExtent l="0" t="0" r="0" b="0"/>
                  <wp:wrapNone/>
                  <wp:docPr id="31035807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633DD55" w14:textId="77777777" w:rsidR="00C124EB" w:rsidRDefault="00C124EB">
                                  <w:pPr>
                                    <w:jc w:val="center"/>
                                    <w:rPr>
                                      <w:rFonts w:asciiTheme="majorHAnsi" w:eastAsiaTheme="majorEastAsia" w:hAnsiTheme="majorHAnsi" w:cstheme="majorBidi"/>
                                      <w:sz w:val="72"/>
                                      <w:szCs w:val="72"/>
                                    </w:rPr>
                                  </w:pP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82B5A" id="Rechteck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633DD55" w14:textId="77777777" w:rsidR="00C124EB" w:rsidRDefault="00C124EB">
                            <w:pPr>
                              <w:jc w:val="center"/>
                              <w:rPr>
                                <w:rFonts w:asciiTheme="majorHAnsi" w:eastAsiaTheme="majorEastAsia" w:hAnsiTheme="majorHAnsi" w:cstheme="majorBidi"/>
                                <w:sz w:val="72"/>
                                <w:szCs w:val="72"/>
                              </w:rPr>
                            </w:pP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E3CEC" w:rsidRPr="008E3CEC">
      <w:rPr>
        <w:rFonts w:ascii="Traditional Arabic" w:hAnsi="Traditional Arabic" w:cs="Traditional Arabic" w:hint="cs"/>
        <w:rtl/>
      </w:rPr>
      <w:t>بســم الله الرحمن الرحيـم</w:t>
    </w:r>
    <w:bookmarkEnd w:id="3"/>
  </w:p>
  <w:p w14:paraId="1DA56486" w14:textId="4D87303A" w:rsidR="00A05C7B" w:rsidRPr="008E3CEC" w:rsidRDefault="009021F0" w:rsidP="009021F0">
    <w:pPr>
      <w:spacing w:after="0"/>
      <w:jc w:val="center"/>
      <w:rPr>
        <w:sz w:val="16"/>
        <w:szCs w:val="16"/>
      </w:rPr>
    </w:pPr>
    <w:r w:rsidRPr="009021F0">
      <w:rPr>
        <w:rFonts w:asciiTheme="majorBidi" w:hAnsiTheme="majorBidi" w:cstheme="majorBidi"/>
        <w:b/>
        <w:bCs/>
        <w:sz w:val="20"/>
        <w:szCs w:val="20"/>
      </w:rPr>
      <w:t xml:space="preserve">Der </w:t>
    </w:r>
    <w:proofErr w:type="spellStart"/>
    <w:r w:rsidRPr="009021F0">
      <w:rPr>
        <w:rFonts w:asciiTheme="majorBidi" w:hAnsiTheme="majorBidi" w:cstheme="majorBidi"/>
        <w:b/>
        <w:bCs/>
        <w:sz w:val="20"/>
        <w:szCs w:val="20"/>
      </w:rPr>
      <w:t>Khutbah</w:t>
    </w:r>
    <w:proofErr w:type="spellEnd"/>
    <w:r w:rsidRPr="009021F0">
      <w:rPr>
        <w:rFonts w:asciiTheme="majorBidi" w:hAnsiTheme="majorBidi" w:cstheme="majorBidi"/>
        <w:b/>
        <w:bCs/>
        <w:sz w:val="20"/>
        <w:szCs w:val="20"/>
      </w:rPr>
      <w:t xml:space="preserve"> zuhören oder das Moscheebegrüßungsgebet verrichten?</w:t>
    </w:r>
    <w:r>
      <w:rPr>
        <w:rFonts w:asciiTheme="majorBidi" w:hAnsiTheme="majorBidi" w:cstheme="majorBidi"/>
        <w:b/>
        <w:bCs/>
        <w:sz w:val="20"/>
        <w:szCs w:val="20"/>
      </w:rPr>
      <w:t xml:space="preserve"> </w:t>
    </w:r>
    <w:r>
      <w:rPr>
        <w:rFonts w:asciiTheme="majorBidi" w:hAnsiTheme="majorBidi" w:cstheme="majorBidi"/>
        <w:b/>
        <w:bCs/>
        <w:sz w:val="20"/>
        <w:szCs w:val="20"/>
      </w:rPr>
      <w:br/>
    </w:r>
    <w:r w:rsidR="00A05C7B" w:rsidRPr="008E3CEC">
      <w:rPr>
        <w:rFonts w:ascii="Times New Roman" w:hAnsi="Times New Roman" w:cs="Times New Roman"/>
        <w:sz w:val="20"/>
        <w:szCs w:val="20"/>
      </w:rPr>
      <w:t xml:space="preserve">Mohammed </w:t>
    </w:r>
    <w:proofErr w:type="spellStart"/>
    <w:r w:rsidR="00A05C7B" w:rsidRPr="008E3CEC">
      <w:rPr>
        <w:rFonts w:ascii="Times New Roman" w:hAnsi="Times New Roman" w:cs="Times New Roman"/>
        <w:sz w:val="20"/>
        <w:szCs w:val="20"/>
      </w:rPr>
      <w:t>Naved</w:t>
    </w:r>
    <w:proofErr w:type="spellEnd"/>
    <w:r w:rsidR="00A05C7B" w:rsidRPr="008E3CEC">
      <w:rPr>
        <w:rFonts w:ascii="Times New Roman" w:hAnsi="Times New Roman" w:cs="Times New Roman"/>
        <w:sz w:val="20"/>
        <w:szCs w:val="20"/>
      </w:rPr>
      <w:t xml:space="preserve"> Johari   ֍    monajo.de   ֍   fürdieliebenden.de   ֍   </w:t>
    </w:r>
    <w:r>
      <w:rPr>
        <w:rFonts w:ascii="Times New Roman" w:hAnsi="Times New Roman" w:cs="Times New Roman"/>
        <w:sz w:val="20"/>
        <w:szCs w:val="20"/>
      </w:rPr>
      <w:t>23</w:t>
    </w:r>
    <w:r w:rsidR="0084782F">
      <w:rPr>
        <w:rFonts w:ascii="Times New Roman" w:hAnsi="Times New Roman" w:cs="Times New Roman"/>
        <w:sz w:val="20"/>
        <w:szCs w:val="20"/>
      </w:rPr>
      <w:t xml:space="preserve">. </w:t>
    </w:r>
    <w:r>
      <w:rPr>
        <w:rFonts w:ascii="Times New Roman" w:hAnsi="Times New Roman" w:cs="Times New Roman"/>
        <w:sz w:val="20"/>
        <w:szCs w:val="20"/>
      </w:rPr>
      <w:t>August</w:t>
    </w:r>
    <w:r w:rsidR="00A05C7B" w:rsidRPr="008E3CEC">
      <w:rPr>
        <w:rFonts w:ascii="Times New Roman" w:hAnsi="Times New Roman" w:cs="Times New Roman"/>
        <w:sz w:val="20"/>
        <w:szCs w:val="20"/>
      </w:rPr>
      <w:t xml:space="preserve"> 2026 /</w:t>
    </w:r>
    <w:r w:rsidRPr="009021F0">
      <w:rPr>
        <w:rtl/>
      </w:rPr>
      <w:t xml:space="preserve"> </w:t>
    </w:r>
    <w:r w:rsidRPr="009021F0">
      <w:rPr>
        <w:rFonts w:ascii="Times New Roman" w:hAnsi="Times New Roman" w:cs="Times New Roman"/>
        <w:sz w:val="20"/>
        <w:szCs w:val="20"/>
        <w:rtl/>
      </w:rPr>
      <w:t>٩ ربيع الأوّل ١٤٤٨ هـ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1948" w14:textId="5D80BB07" w:rsidR="008E3CEC" w:rsidRPr="008E3CEC" w:rsidRDefault="008E3CEC" w:rsidP="00EE1041">
    <w:pPr>
      <w:spacing w:after="0"/>
      <w:jc w:val="center"/>
      <w:rPr>
        <w:rFonts w:ascii="Times New Roman" w:hAnsi="Times New Roman"/>
        <w:sz w:val="20"/>
        <w:szCs w:val="20"/>
      </w:rPr>
    </w:pPr>
    <w:r>
      <w:rPr>
        <w:rFonts w:ascii="Traditional Arabic" w:hAnsi="Traditional Arabic" w:cs="Traditional Arabic" w:hint="cs"/>
        <w:sz w:val="40"/>
        <w:szCs w:val="40"/>
        <w:rtl/>
      </w:rPr>
      <w:t>بســم الله الرحمن الرحيـم</w:t>
    </w:r>
    <w:r>
      <w:rPr>
        <w:rFonts w:ascii="Traditional Arabic" w:hAnsi="Traditional Arabic" w:cs="Traditional Arabic"/>
        <w:sz w:val="40"/>
        <w:szCs w:val="40"/>
        <w:rtl/>
      </w:rPr>
      <w:br/>
    </w:r>
    <w:r w:rsidRPr="008E3CEC">
      <w:rPr>
        <w:rFonts w:ascii="Times New Roman" w:hAnsi="Times New Roman" w:cs="Times New Roman"/>
        <w:sz w:val="20"/>
        <w:szCs w:val="20"/>
      </w:rPr>
      <w:t xml:space="preserve">Mohammed </w:t>
    </w:r>
    <w:proofErr w:type="spellStart"/>
    <w:r w:rsidRPr="008E3CEC">
      <w:rPr>
        <w:rFonts w:ascii="Times New Roman" w:hAnsi="Times New Roman" w:cs="Times New Roman"/>
        <w:sz w:val="20"/>
        <w:szCs w:val="20"/>
      </w:rPr>
      <w:t>Naved</w:t>
    </w:r>
    <w:proofErr w:type="spellEnd"/>
    <w:r w:rsidRPr="008E3CEC">
      <w:rPr>
        <w:rFonts w:ascii="Times New Roman" w:hAnsi="Times New Roman" w:cs="Times New Roman"/>
        <w:sz w:val="20"/>
        <w:szCs w:val="20"/>
      </w:rPr>
      <w:t xml:space="preserve"> Johari   ֍   monajo.de  ֍  </w:t>
    </w:r>
    <w:r w:rsidR="0084782F">
      <w:rPr>
        <w:rFonts w:ascii="Times New Roman" w:hAnsi="Times New Roman" w:cs="Times New Roman"/>
        <w:sz w:val="20"/>
        <w:szCs w:val="20"/>
      </w:rPr>
      <w:t>f</w:t>
    </w:r>
    <w:r w:rsidRPr="008E3CEC">
      <w:rPr>
        <w:rFonts w:ascii="Times New Roman" w:hAnsi="Times New Roman" w:cs="Times New Roman"/>
        <w:sz w:val="20"/>
        <w:szCs w:val="20"/>
      </w:rPr>
      <w:t xml:space="preserve">ürdieliebenden.de  </w:t>
    </w:r>
    <w:r w:rsidR="00830A64" w:rsidRPr="008E3CEC">
      <w:rPr>
        <w:rFonts w:ascii="Times New Roman" w:hAnsi="Times New Roman" w:cs="Times New Roman"/>
        <w:sz w:val="20"/>
        <w:szCs w:val="20"/>
      </w:rPr>
      <w:t xml:space="preserve">֍   </w:t>
    </w:r>
    <w:r w:rsidR="00830A64">
      <w:rPr>
        <w:rFonts w:ascii="Times New Roman" w:hAnsi="Times New Roman" w:cs="Times New Roman"/>
        <w:sz w:val="20"/>
        <w:szCs w:val="20"/>
      </w:rPr>
      <w:t>23. August</w:t>
    </w:r>
    <w:r w:rsidR="00830A64" w:rsidRPr="008E3CEC">
      <w:rPr>
        <w:rFonts w:ascii="Times New Roman" w:hAnsi="Times New Roman" w:cs="Times New Roman"/>
        <w:sz w:val="20"/>
        <w:szCs w:val="20"/>
      </w:rPr>
      <w:t xml:space="preserve"> 2026 /</w:t>
    </w:r>
    <w:r w:rsidR="00830A64" w:rsidRPr="009021F0">
      <w:rPr>
        <w:rtl/>
      </w:rPr>
      <w:t xml:space="preserve"> </w:t>
    </w:r>
    <w:r w:rsidR="00830A64" w:rsidRPr="009021F0">
      <w:rPr>
        <w:rFonts w:ascii="Times New Roman" w:hAnsi="Times New Roman" w:cs="Times New Roman"/>
        <w:sz w:val="20"/>
        <w:szCs w:val="20"/>
        <w:rtl/>
      </w:rPr>
      <w:t>٩ ربيع الأوّل ١٤٤٨ هـ</w:t>
    </w:r>
    <w:r w:rsidR="00830A64" w:rsidRPr="008E3CEC">
      <w:rPr>
        <w:rFonts w:ascii="Times New Roman" w:hAnsi="Times New Roman"/>
        <w:sz w:val="20"/>
        <w:szCs w:val="20"/>
      </w:rPr>
      <w:t xml:space="preserve"> </w:t>
    </w:r>
    <w:proofErr w:type="spellStart"/>
    <w:r w:rsidRPr="008E3CEC">
      <w:rPr>
        <w:rFonts w:ascii="Times New Roman" w:hAnsi="Times New Roman"/>
        <w:sz w:val="20"/>
        <w:szCs w:val="20"/>
      </w:rPr>
      <w:t>Doctor</w:t>
    </w:r>
    <w:proofErr w:type="spellEnd"/>
    <w:r w:rsidRPr="008E3CEC">
      <w:rPr>
        <w:rFonts w:ascii="Times New Roman" w:hAnsi="Times New Roman"/>
        <w:sz w:val="20"/>
        <w:szCs w:val="20"/>
      </w:rPr>
      <w:t xml:space="preserve"> </w:t>
    </w:r>
    <w:proofErr w:type="spellStart"/>
    <w:r w:rsidRPr="008E3CEC">
      <w:rPr>
        <w:rFonts w:ascii="Times New Roman" w:hAnsi="Times New Roman"/>
        <w:sz w:val="20"/>
        <w:szCs w:val="20"/>
      </w:rPr>
      <w:t>of</w:t>
    </w:r>
    <w:proofErr w:type="spellEnd"/>
    <w:r w:rsidRPr="008E3CEC">
      <w:rPr>
        <w:rFonts w:ascii="Times New Roman" w:hAnsi="Times New Roman"/>
        <w:sz w:val="20"/>
        <w:szCs w:val="20"/>
      </w:rPr>
      <w:t xml:space="preserve"> </w:t>
    </w:r>
    <w:proofErr w:type="spellStart"/>
    <w:r w:rsidRPr="008E3CEC">
      <w:rPr>
        <w:rFonts w:ascii="Times New Roman" w:hAnsi="Times New Roman"/>
        <w:sz w:val="20"/>
        <w:szCs w:val="20"/>
      </w:rPr>
      <w:t>Islamic</w:t>
    </w:r>
    <w:proofErr w:type="spellEnd"/>
    <w:r w:rsidRPr="008E3CEC">
      <w:rPr>
        <w:rFonts w:ascii="Times New Roman" w:hAnsi="Times New Roman"/>
        <w:sz w:val="20"/>
        <w:szCs w:val="20"/>
      </w:rPr>
      <w:t xml:space="preserve"> </w:t>
    </w:r>
    <w:r w:rsidRPr="00EE1041">
      <w:rPr>
        <w:rFonts w:ascii="Times New Roman" w:hAnsi="Times New Roman"/>
        <w:sz w:val="20"/>
        <w:szCs w:val="20"/>
      </w:rPr>
      <w:t>Studies (</w:t>
    </w:r>
    <w:r w:rsidR="00EE1041" w:rsidRPr="00EE1041">
      <w:rPr>
        <w:rFonts w:ascii="Times New Roman" w:hAnsi="Times New Roman"/>
        <w:sz w:val="20"/>
        <w:szCs w:val="20"/>
      </w:rPr>
      <w:t xml:space="preserve">International University </w:t>
    </w:r>
    <w:proofErr w:type="spellStart"/>
    <w:r w:rsidR="00EE1041" w:rsidRPr="00EE1041">
      <w:rPr>
        <w:rFonts w:ascii="Times New Roman" w:hAnsi="Times New Roman"/>
        <w:sz w:val="20"/>
        <w:szCs w:val="20"/>
      </w:rPr>
      <w:t>of</w:t>
    </w:r>
    <w:proofErr w:type="spellEnd"/>
    <w:r w:rsidR="00EE1041" w:rsidRPr="00EE1041">
      <w:rPr>
        <w:rFonts w:ascii="Times New Roman" w:hAnsi="Times New Roman"/>
        <w:sz w:val="20"/>
        <w:szCs w:val="20"/>
      </w:rPr>
      <w:t xml:space="preserve"> Novi</w:t>
    </w:r>
    <w:r w:rsidR="00EE1041" w:rsidRPr="00EE1041">
      <w:rPr>
        <w:rFonts w:ascii="Times New Roman" w:hAnsi="Times New Roman"/>
        <w:b/>
        <w:bCs/>
        <w:sz w:val="20"/>
        <w:szCs w:val="20"/>
      </w:rPr>
      <w:t xml:space="preserve"> </w:t>
    </w:r>
    <w:r w:rsidRPr="008E3CEC">
      <w:rPr>
        <w:rFonts w:ascii="Times New Roman" w:hAnsi="Times New Roman"/>
        <w:sz w:val="20"/>
        <w:szCs w:val="20"/>
      </w:rPr>
      <w:t>Pazar - SRB, 2019)</w:t>
    </w:r>
  </w:p>
  <w:p w14:paraId="23949149" w14:textId="77777777" w:rsidR="008E3CEC" w:rsidRPr="008E3CEC" w:rsidRDefault="008E3CEC" w:rsidP="00EA0947">
    <w:pPr>
      <w:pStyle w:val="KeinLeerraum"/>
      <w:jc w:val="center"/>
      <w:rPr>
        <w:rFonts w:ascii="Times New Roman" w:hAnsi="Times New Roman"/>
        <w:sz w:val="20"/>
        <w:szCs w:val="20"/>
      </w:rPr>
    </w:pPr>
    <w:r w:rsidRPr="008E3CEC">
      <w:rPr>
        <w:rFonts w:ascii="Times New Roman" w:hAnsi="Times New Roman"/>
        <w:sz w:val="20"/>
        <w:szCs w:val="20"/>
      </w:rPr>
      <w:t>Diplom- Sozialpädagoge (GER, 2006) M.A. Management (GER, 2013)</w:t>
    </w:r>
  </w:p>
  <w:p w14:paraId="159664DB" w14:textId="77777777" w:rsidR="008E3CEC" w:rsidRPr="008E3CEC" w:rsidRDefault="008E3CEC" w:rsidP="00EA0947">
    <w:pPr>
      <w:pStyle w:val="KeinLeerraum"/>
      <w:jc w:val="center"/>
      <w:rPr>
        <w:rFonts w:ascii="Times New Roman" w:hAnsi="Times New Roman"/>
        <w:sz w:val="20"/>
        <w:szCs w:val="20"/>
      </w:rPr>
    </w:pPr>
    <w:r w:rsidRPr="008E3CEC">
      <w:rPr>
        <w:rFonts w:ascii="Times New Roman" w:hAnsi="Times New Roman"/>
        <w:sz w:val="20"/>
        <w:szCs w:val="20"/>
      </w:rPr>
      <w:t xml:space="preserve">M.A. </w:t>
    </w:r>
    <w:proofErr w:type="spellStart"/>
    <w:r w:rsidRPr="008E3CEC">
      <w:rPr>
        <w:rFonts w:ascii="Times New Roman" w:hAnsi="Times New Roman"/>
        <w:sz w:val="20"/>
        <w:szCs w:val="20"/>
      </w:rPr>
      <w:t>Islamic</w:t>
    </w:r>
    <w:proofErr w:type="spellEnd"/>
    <w:r w:rsidRPr="008E3CEC">
      <w:rPr>
        <w:rFonts w:ascii="Times New Roman" w:hAnsi="Times New Roman"/>
        <w:sz w:val="20"/>
        <w:szCs w:val="20"/>
      </w:rPr>
      <w:t xml:space="preserve"> Studies (GBR, 2016) M.A. Interreligiöser Dialog (AUT, 2017)</w:t>
    </w:r>
  </w:p>
  <w:p w14:paraId="45A7D60A" w14:textId="77777777" w:rsidR="008E3CEC" w:rsidRPr="008E3CEC" w:rsidRDefault="008E3CEC" w:rsidP="00EA0947">
    <w:pPr>
      <w:pStyle w:val="KeinLeerraum"/>
      <w:jc w:val="center"/>
      <w:rPr>
        <w:rFonts w:ascii="Times New Roman" w:hAnsi="Times New Roman"/>
        <w:sz w:val="20"/>
        <w:szCs w:val="20"/>
      </w:rPr>
    </w:pPr>
    <w:r w:rsidRPr="008E3CEC">
      <w:rPr>
        <w:rFonts w:ascii="Times New Roman" w:hAnsi="Times New Roman"/>
        <w:sz w:val="20"/>
        <w:szCs w:val="20"/>
      </w:rPr>
      <w:t>Geprüfter Stresspräventionstrainer (ZPP, 2021) 2-jährige Weiterbildung in Systemische Beratung (SG, 2023)</w:t>
    </w:r>
    <w:r w:rsidRPr="008E3CEC">
      <w:rPr>
        <w:rFonts w:ascii="Times New Roman" w:hAnsi="Times New Roman"/>
        <w:sz w:val="20"/>
        <w:szCs w:val="20"/>
      </w:rPr>
      <w:br/>
      <w:t xml:space="preserve">Promovend zum Themenkomplex </w:t>
    </w:r>
    <w:proofErr w:type="spellStart"/>
    <w:r w:rsidRPr="008E3CEC">
      <w:rPr>
        <w:rFonts w:ascii="Times New Roman" w:hAnsi="Times New Roman"/>
        <w:sz w:val="20"/>
        <w:szCs w:val="20"/>
      </w:rPr>
      <w:t>Nasiihah</w:t>
    </w:r>
    <w:proofErr w:type="spellEnd"/>
    <w:r w:rsidRPr="008E3CEC">
      <w:rPr>
        <w:rFonts w:ascii="Times New Roman" w:hAnsi="Times New Roman"/>
        <w:sz w:val="20"/>
        <w:szCs w:val="20"/>
      </w:rPr>
      <w:t xml:space="preserve"> mit Systemischem Schwerpunkt (seit 2022)</w:t>
    </w:r>
  </w:p>
  <w:p w14:paraId="31F979AF" w14:textId="77777777" w:rsidR="008E3CEC" w:rsidRDefault="008E3C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2C8"/>
    <w:multiLevelType w:val="hybridMultilevel"/>
    <w:tmpl w:val="D7F2E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2070FF"/>
    <w:multiLevelType w:val="multilevel"/>
    <w:tmpl w:val="601C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E7919"/>
    <w:multiLevelType w:val="multilevel"/>
    <w:tmpl w:val="07BA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32882"/>
    <w:multiLevelType w:val="multilevel"/>
    <w:tmpl w:val="749A9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94EDA"/>
    <w:multiLevelType w:val="hybridMultilevel"/>
    <w:tmpl w:val="A2C623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3B2B2D"/>
    <w:multiLevelType w:val="hybridMultilevel"/>
    <w:tmpl w:val="304660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5950ECE"/>
    <w:multiLevelType w:val="hybridMultilevel"/>
    <w:tmpl w:val="370659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234E6D"/>
    <w:multiLevelType w:val="multilevel"/>
    <w:tmpl w:val="DBD6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6F53C9"/>
    <w:multiLevelType w:val="hybridMultilevel"/>
    <w:tmpl w:val="0CD491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7392291"/>
    <w:multiLevelType w:val="multilevel"/>
    <w:tmpl w:val="BEB83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84F0E"/>
    <w:multiLevelType w:val="multilevel"/>
    <w:tmpl w:val="2B081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7D4C11"/>
    <w:multiLevelType w:val="multilevel"/>
    <w:tmpl w:val="601C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C9763B"/>
    <w:multiLevelType w:val="hybridMultilevel"/>
    <w:tmpl w:val="00F07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7410B6"/>
    <w:multiLevelType w:val="hybridMultilevel"/>
    <w:tmpl w:val="A5148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64945900"/>
    <w:multiLevelType w:val="hybridMultilevel"/>
    <w:tmpl w:val="2424F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B24151F"/>
    <w:multiLevelType w:val="multilevel"/>
    <w:tmpl w:val="601C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2532883">
    <w:abstractNumId w:val="9"/>
  </w:num>
  <w:num w:numId="2" w16cid:durableId="1154950971">
    <w:abstractNumId w:val="1"/>
  </w:num>
  <w:num w:numId="3" w16cid:durableId="1684235472">
    <w:abstractNumId w:val="7"/>
  </w:num>
  <w:num w:numId="4" w16cid:durableId="1845124470">
    <w:abstractNumId w:val="10"/>
  </w:num>
  <w:num w:numId="5" w16cid:durableId="1326931805">
    <w:abstractNumId w:val="8"/>
  </w:num>
  <w:num w:numId="6" w16cid:durableId="2117941867">
    <w:abstractNumId w:val="3"/>
  </w:num>
  <w:num w:numId="7" w16cid:durableId="826871051">
    <w:abstractNumId w:val="0"/>
  </w:num>
  <w:num w:numId="8" w16cid:durableId="9913337">
    <w:abstractNumId w:val="12"/>
  </w:num>
  <w:num w:numId="9" w16cid:durableId="2127846569">
    <w:abstractNumId w:val="11"/>
  </w:num>
  <w:num w:numId="10" w16cid:durableId="894582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4407781">
    <w:abstractNumId w:val="13"/>
  </w:num>
  <w:num w:numId="12" w16cid:durableId="1518813704">
    <w:abstractNumId w:val="5"/>
  </w:num>
  <w:num w:numId="13" w16cid:durableId="135221636">
    <w:abstractNumId w:val="5"/>
  </w:num>
  <w:num w:numId="14" w16cid:durableId="733048369">
    <w:abstractNumId w:val="12"/>
  </w:num>
  <w:num w:numId="15" w16cid:durableId="1969965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535539">
    <w:abstractNumId w:val="15"/>
  </w:num>
  <w:num w:numId="17" w16cid:durableId="901719717">
    <w:abstractNumId w:val="2"/>
  </w:num>
  <w:num w:numId="18" w16cid:durableId="318582235">
    <w:abstractNumId w:val="2"/>
  </w:num>
  <w:num w:numId="19" w16cid:durableId="510418809">
    <w:abstractNumId w:val="14"/>
  </w:num>
  <w:num w:numId="20" w16cid:durableId="1981039023">
    <w:abstractNumId w:val="4"/>
  </w:num>
  <w:num w:numId="21" w16cid:durableId="344792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E6"/>
    <w:rsid w:val="00004338"/>
    <w:rsid w:val="00006077"/>
    <w:rsid w:val="00010CEF"/>
    <w:rsid w:val="000179FB"/>
    <w:rsid w:val="0002137F"/>
    <w:rsid w:val="00022050"/>
    <w:rsid w:val="00031D0A"/>
    <w:rsid w:val="0004344E"/>
    <w:rsid w:val="000620AF"/>
    <w:rsid w:val="000705FF"/>
    <w:rsid w:val="00076223"/>
    <w:rsid w:val="000775C1"/>
    <w:rsid w:val="00083BB5"/>
    <w:rsid w:val="000936C3"/>
    <w:rsid w:val="000B432D"/>
    <w:rsid w:val="000C3EA2"/>
    <w:rsid w:val="000C4859"/>
    <w:rsid w:val="000D059D"/>
    <w:rsid w:val="000D230E"/>
    <w:rsid w:val="000D361A"/>
    <w:rsid w:val="000D6A63"/>
    <w:rsid w:val="000E2855"/>
    <w:rsid w:val="001008BD"/>
    <w:rsid w:val="001177DC"/>
    <w:rsid w:val="00132775"/>
    <w:rsid w:val="00135363"/>
    <w:rsid w:val="001412D9"/>
    <w:rsid w:val="001500EF"/>
    <w:rsid w:val="001535FF"/>
    <w:rsid w:val="001537D3"/>
    <w:rsid w:val="00161127"/>
    <w:rsid w:val="00164F4B"/>
    <w:rsid w:val="00167C59"/>
    <w:rsid w:val="0017093F"/>
    <w:rsid w:val="00172DDA"/>
    <w:rsid w:val="00174944"/>
    <w:rsid w:val="00184951"/>
    <w:rsid w:val="00185B7A"/>
    <w:rsid w:val="00197EEF"/>
    <w:rsid w:val="001A23D5"/>
    <w:rsid w:val="001A6831"/>
    <w:rsid w:val="001B1AE1"/>
    <w:rsid w:val="001B63C7"/>
    <w:rsid w:val="001C13C6"/>
    <w:rsid w:val="001C4BA4"/>
    <w:rsid w:val="001C5F70"/>
    <w:rsid w:val="001D09B4"/>
    <w:rsid w:val="001E669E"/>
    <w:rsid w:val="001F7C98"/>
    <w:rsid w:val="00226161"/>
    <w:rsid w:val="00242550"/>
    <w:rsid w:val="0025033B"/>
    <w:rsid w:val="00251B82"/>
    <w:rsid w:val="0025253F"/>
    <w:rsid w:val="0025744A"/>
    <w:rsid w:val="00266717"/>
    <w:rsid w:val="00275E6F"/>
    <w:rsid w:val="00291495"/>
    <w:rsid w:val="002B3657"/>
    <w:rsid w:val="002D1205"/>
    <w:rsid w:val="002D15CF"/>
    <w:rsid w:val="002E783C"/>
    <w:rsid w:val="002F4532"/>
    <w:rsid w:val="00302800"/>
    <w:rsid w:val="003416E6"/>
    <w:rsid w:val="00350760"/>
    <w:rsid w:val="00351D35"/>
    <w:rsid w:val="00364D11"/>
    <w:rsid w:val="0039072F"/>
    <w:rsid w:val="003A1377"/>
    <w:rsid w:val="003A6FB2"/>
    <w:rsid w:val="003A7297"/>
    <w:rsid w:val="003B28F4"/>
    <w:rsid w:val="003B77DA"/>
    <w:rsid w:val="003D1D78"/>
    <w:rsid w:val="003D2CBB"/>
    <w:rsid w:val="003D7E48"/>
    <w:rsid w:val="003E7A93"/>
    <w:rsid w:val="003F2C19"/>
    <w:rsid w:val="003F4D8D"/>
    <w:rsid w:val="003F70DB"/>
    <w:rsid w:val="00402F26"/>
    <w:rsid w:val="004145BA"/>
    <w:rsid w:val="00422A3C"/>
    <w:rsid w:val="00422B47"/>
    <w:rsid w:val="00433639"/>
    <w:rsid w:val="004462A2"/>
    <w:rsid w:val="00450882"/>
    <w:rsid w:val="004511B9"/>
    <w:rsid w:val="00474135"/>
    <w:rsid w:val="004935F4"/>
    <w:rsid w:val="004B12EA"/>
    <w:rsid w:val="004B1E63"/>
    <w:rsid w:val="004B36BD"/>
    <w:rsid w:val="004C20D8"/>
    <w:rsid w:val="004C3AF0"/>
    <w:rsid w:val="004D21B4"/>
    <w:rsid w:val="004D6AEE"/>
    <w:rsid w:val="004D6D9F"/>
    <w:rsid w:val="004F7D89"/>
    <w:rsid w:val="005008BC"/>
    <w:rsid w:val="00520068"/>
    <w:rsid w:val="00531C8F"/>
    <w:rsid w:val="0053211A"/>
    <w:rsid w:val="00533EB5"/>
    <w:rsid w:val="00535433"/>
    <w:rsid w:val="00543A64"/>
    <w:rsid w:val="00556AD3"/>
    <w:rsid w:val="00562EF4"/>
    <w:rsid w:val="00563702"/>
    <w:rsid w:val="00570E0E"/>
    <w:rsid w:val="00571021"/>
    <w:rsid w:val="00574F34"/>
    <w:rsid w:val="0059046D"/>
    <w:rsid w:val="00597A10"/>
    <w:rsid w:val="005B1D48"/>
    <w:rsid w:val="005B3DFD"/>
    <w:rsid w:val="005B3E6A"/>
    <w:rsid w:val="005B686D"/>
    <w:rsid w:val="005B7E08"/>
    <w:rsid w:val="005D0834"/>
    <w:rsid w:val="005D0F56"/>
    <w:rsid w:val="005D563A"/>
    <w:rsid w:val="005E294E"/>
    <w:rsid w:val="005F31D5"/>
    <w:rsid w:val="005F4109"/>
    <w:rsid w:val="005F499B"/>
    <w:rsid w:val="0064220F"/>
    <w:rsid w:val="00643DCD"/>
    <w:rsid w:val="0065198E"/>
    <w:rsid w:val="006754A1"/>
    <w:rsid w:val="00676037"/>
    <w:rsid w:val="00677EEA"/>
    <w:rsid w:val="0069202C"/>
    <w:rsid w:val="006B5D2A"/>
    <w:rsid w:val="006C029A"/>
    <w:rsid w:val="006C3B20"/>
    <w:rsid w:val="006E5513"/>
    <w:rsid w:val="006F4F24"/>
    <w:rsid w:val="006F767C"/>
    <w:rsid w:val="007068BD"/>
    <w:rsid w:val="0071582F"/>
    <w:rsid w:val="007201E6"/>
    <w:rsid w:val="00727143"/>
    <w:rsid w:val="00727174"/>
    <w:rsid w:val="007303BD"/>
    <w:rsid w:val="007466BA"/>
    <w:rsid w:val="007834B9"/>
    <w:rsid w:val="007A209B"/>
    <w:rsid w:val="007A230E"/>
    <w:rsid w:val="007A78D2"/>
    <w:rsid w:val="007B313A"/>
    <w:rsid w:val="007C2DB6"/>
    <w:rsid w:val="007C7B2E"/>
    <w:rsid w:val="00807410"/>
    <w:rsid w:val="00807FB8"/>
    <w:rsid w:val="00830A64"/>
    <w:rsid w:val="008348C1"/>
    <w:rsid w:val="00846859"/>
    <w:rsid w:val="0084782F"/>
    <w:rsid w:val="00851EBD"/>
    <w:rsid w:val="00856D9B"/>
    <w:rsid w:val="00860C0C"/>
    <w:rsid w:val="008629B3"/>
    <w:rsid w:val="00876D7D"/>
    <w:rsid w:val="00897433"/>
    <w:rsid w:val="008A2AE0"/>
    <w:rsid w:val="008A37E1"/>
    <w:rsid w:val="008A447F"/>
    <w:rsid w:val="008C299A"/>
    <w:rsid w:val="008C3B0D"/>
    <w:rsid w:val="008C5D5E"/>
    <w:rsid w:val="008D7B32"/>
    <w:rsid w:val="008E3CEC"/>
    <w:rsid w:val="008F6E4A"/>
    <w:rsid w:val="00901521"/>
    <w:rsid w:val="009021F0"/>
    <w:rsid w:val="009048AC"/>
    <w:rsid w:val="009058B0"/>
    <w:rsid w:val="00917CC8"/>
    <w:rsid w:val="00920863"/>
    <w:rsid w:val="009229ED"/>
    <w:rsid w:val="009242F7"/>
    <w:rsid w:val="00930A85"/>
    <w:rsid w:val="00932F6E"/>
    <w:rsid w:val="009404CB"/>
    <w:rsid w:val="00942E7B"/>
    <w:rsid w:val="009514C1"/>
    <w:rsid w:val="00956AA6"/>
    <w:rsid w:val="00966BB4"/>
    <w:rsid w:val="0097315A"/>
    <w:rsid w:val="00973AC4"/>
    <w:rsid w:val="009747EC"/>
    <w:rsid w:val="0098124D"/>
    <w:rsid w:val="0098717E"/>
    <w:rsid w:val="00993F39"/>
    <w:rsid w:val="009A3920"/>
    <w:rsid w:val="009A5A83"/>
    <w:rsid w:val="009B32DE"/>
    <w:rsid w:val="009B59F3"/>
    <w:rsid w:val="009B7A8B"/>
    <w:rsid w:val="009C3C1A"/>
    <w:rsid w:val="009C61C8"/>
    <w:rsid w:val="009D35E6"/>
    <w:rsid w:val="00A05C7B"/>
    <w:rsid w:val="00A111D4"/>
    <w:rsid w:val="00A11261"/>
    <w:rsid w:val="00A127A1"/>
    <w:rsid w:val="00A3297A"/>
    <w:rsid w:val="00A32F8F"/>
    <w:rsid w:val="00A3668D"/>
    <w:rsid w:val="00A53567"/>
    <w:rsid w:val="00A56714"/>
    <w:rsid w:val="00A65C11"/>
    <w:rsid w:val="00A74E52"/>
    <w:rsid w:val="00A84B19"/>
    <w:rsid w:val="00A86E8C"/>
    <w:rsid w:val="00A9073A"/>
    <w:rsid w:val="00A9360F"/>
    <w:rsid w:val="00A95160"/>
    <w:rsid w:val="00A95589"/>
    <w:rsid w:val="00AB0814"/>
    <w:rsid w:val="00AB4606"/>
    <w:rsid w:val="00AD4D03"/>
    <w:rsid w:val="00AD6FC1"/>
    <w:rsid w:val="00AE20A7"/>
    <w:rsid w:val="00AE3243"/>
    <w:rsid w:val="00AF25DA"/>
    <w:rsid w:val="00B2231E"/>
    <w:rsid w:val="00B22A43"/>
    <w:rsid w:val="00B336EB"/>
    <w:rsid w:val="00B525E6"/>
    <w:rsid w:val="00B6052F"/>
    <w:rsid w:val="00B84CC0"/>
    <w:rsid w:val="00B8617A"/>
    <w:rsid w:val="00B90376"/>
    <w:rsid w:val="00BA1D79"/>
    <w:rsid w:val="00BA459F"/>
    <w:rsid w:val="00BB097F"/>
    <w:rsid w:val="00BC78C1"/>
    <w:rsid w:val="00BC7BA1"/>
    <w:rsid w:val="00BD072F"/>
    <w:rsid w:val="00BD12CD"/>
    <w:rsid w:val="00BD31B6"/>
    <w:rsid w:val="00BE1712"/>
    <w:rsid w:val="00BF3C96"/>
    <w:rsid w:val="00BF5E0F"/>
    <w:rsid w:val="00C124EB"/>
    <w:rsid w:val="00C26ECA"/>
    <w:rsid w:val="00C27D76"/>
    <w:rsid w:val="00C5378D"/>
    <w:rsid w:val="00C63BB1"/>
    <w:rsid w:val="00C70F03"/>
    <w:rsid w:val="00C86716"/>
    <w:rsid w:val="00C90132"/>
    <w:rsid w:val="00CA489D"/>
    <w:rsid w:val="00CA7B5B"/>
    <w:rsid w:val="00CE03D3"/>
    <w:rsid w:val="00CF5147"/>
    <w:rsid w:val="00CF5ED1"/>
    <w:rsid w:val="00D015CE"/>
    <w:rsid w:val="00D13162"/>
    <w:rsid w:val="00D15EAF"/>
    <w:rsid w:val="00D31136"/>
    <w:rsid w:val="00D35D71"/>
    <w:rsid w:val="00D373F7"/>
    <w:rsid w:val="00D40416"/>
    <w:rsid w:val="00D45969"/>
    <w:rsid w:val="00D45DBB"/>
    <w:rsid w:val="00D51856"/>
    <w:rsid w:val="00D73265"/>
    <w:rsid w:val="00D77203"/>
    <w:rsid w:val="00D8753E"/>
    <w:rsid w:val="00D90BA0"/>
    <w:rsid w:val="00DA050C"/>
    <w:rsid w:val="00DA177F"/>
    <w:rsid w:val="00DB21BE"/>
    <w:rsid w:val="00DB41C1"/>
    <w:rsid w:val="00DC1571"/>
    <w:rsid w:val="00DC5429"/>
    <w:rsid w:val="00DD6360"/>
    <w:rsid w:val="00DD7315"/>
    <w:rsid w:val="00DE03F5"/>
    <w:rsid w:val="00DE5F03"/>
    <w:rsid w:val="00DE63A5"/>
    <w:rsid w:val="00DE7041"/>
    <w:rsid w:val="00DF22CD"/>
    <w:rsid w:val="00DF67DC"/>
    <w:rsid w:val="00E06811"/>
    <w:rsid w:val="00E1055A"/>
    <w:rsid w:val="00E26028"/>
    <w:rsid w:val="00E316D1"/>
    <w:rsid w:val="00E32220"/>
    <w:rsid w:val="00E35FF5"/>
    <w:rsid w:val="00E43159"/>
    <w:rsid w:val="00E52C65"/>
    <w:rsid w:val="00E56185"/>
    <w:rsid w:val="00E6722F"/>
    <w:rsid w:val="00E736CB"/>
    <w:rsid w:val="00E83427"/>
    <w:rsid w:val="00E83C7C"/>
    <w:rsid w:val="00E94A6D"/>
    <w:rsid w:val="00E95601"/>
    <w:rsid w:val="00E96A71"/>
    <w:rsid w:val="00EA0947"/>
    <w:rsid w:val="00EA3435"/>
    <w:rsid w:val="00EB7C5E"/>
    <w:rsid w:val="00EC4177"/>
    <w:rsid w:val="00EC43B7"/>
    <w:rsid w:val="00EC45A5"/>
    <w:rsid w:val="00EC5FE0"/>
    <w:rsid w:val="00ED4C30"/>
    <w:rsid w:val="00EE1041"/>
    <w:rsid w:val="00F03C42"/>
    <w:rsid w:val="00F2176C"/>
    <w:rsid w:val="00F3109E"/>
    <w:rsid w:val="00F4402C"/>
    <w:rsid w:val="00F45A9C"/>
    <w:rsid w:val="00F45D2B"/>
    <w:rsid w:val="00F5451A"/>
    <w:rsid w:val="00F55899"/>
    <w:rsid w:val="00F70F71"/>
    <w:rsid w:val="00FA1068"/>
    <w:rsid w:val="00FB2E11"/>
    <w:rsid w:val="00FC063F"/>
    <w:rsid w:val="00FD3CBC"/>
    <w:rsid w:val="00FD7F92"/>
    <w:rsid w:val="00FE68DD"/>
    <w:rsid w:val="00FF4887"/>
    <w:rsid w:val="00FF7E70"/>
    <w:rsid w:val="00FF7FC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4847A"/>
  <w15:chartTrackingRefBased/>
  <w15:docId w15:val="{F51CD09A-1E21-4D78-9409-88B12814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0947"/>
  </w:style>
  <w:style w:type="paragraph" w:styleId="berschrift1">
    <w:name w:val="heading 1"/>
    <w:basedOn w:val="Standard"/>
    <w:next w:val="Standard"/>
    <w:link w:val="berschrift1Zchn"/>
    <w:uiPriority w:val="9"/>
    <w:qFormat/>
    <w:rsid w:val="003416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3416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3416E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unhideWhenUsed/>
    <w:qFormat/>
    <w:rsid w:val="003416E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3416E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416E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16E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16E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16E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16E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3416E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3416E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rsid w:val="003416E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3416E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416E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16E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16E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16E6"/>
    <w:rPr>
      <w:rFonts w:eastAsiaTheme="majorEastAsia" w:cstheme="majorBidi"/>
      <w:color w:val="272727" w:themeColor="text1" w:themeTint="D8"/>
    </w:rPr>
  </w:style>
  <w:style w:type="paragraph" w:styleId="Titel">
    <w:name w:val="Title"/>
    <w:basedOn w:val="Standard"/>
    <w:next w:val="Standard"/>
    <w:link w:val="TitelZchn"/>
    <w:uiPriority w:val="10"/>
    <w:qFormat/>
    <w:rsid w:val="003416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16E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16E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16E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16E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16E6"/>
    <w:rPr>
      <w:i/>
      <w:iCs/>
      <w:color w:val="404040" w:themeColor="text1" w:themeTint="BF"/>
    </w:rPr>
  </w:style>
  <w:style w:type="paragraph" w:styleId="Listenabsatz">
    <w:name w:val="List Paragraph"/>
    <w:basedOn w:val="Standard"/>
    <w:uiPriority w:val="34"/>
    <w:qFormat/>
    <w:rsid w:val="003416E6"/>
    <w:pPr>
      <w:ind w:left="720"/>
      <w:contextualSpacing/>
    </w:pPr>
  </w:style>
  <w:style w:type="character" w:styleId="IntensiveHervorhebung">
    <w:name w:val="Intense Emphasis"/>
    <w:basedOn w:val="Absatz-Standardschriftart"/>
    <w:uiPriority w:val="21"/>
    <w:qFormat/>
    <w:rsid w:val="003416E6"/>
    <w:rPr>
      <w:i/>
      <w:iCs/>
      <w:color w:val="2F5496" w:themeColor="accent1" w:themeShade="BF"/>
    </w:rPr>
  </w:style>
  <w:style w:type="paragraph" w:styleId="IntensivesZitat">
    <w:name w:val="Intense Quote"/>
    <w:basedOn w:val="Standard"/>
    <w:next w:val="Standard"/>
    <w:link w:val="IntensivesZitatZchn"/>
    <w:uiPriority w:val="30"/>
    <w:qFormat/>
    <w:rsid w:val="003416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416E6"/>
    <w:rPr>
      <w:i/>
      <w:iCs/>
      <w:color w:val="2F5496" w:themeColor="accent1" w:themeShade="BF"/>
    </w:rPr>
  </w:style>
  <w:style w:type="character" w:styleId="IntensiverVerweis">
    <w:name w:val="Intense Reference"/>
    <w:basedOn w:val="Absatz-Standardschriftart"/>
    <w:uiPriority w:val="32"/>
    <w:qFormat/>
    <w:rsid w:val="003416E6"/>
    <w:rPr>
      <w:b/>
      <w:bCs/>
      <w:smallCaps/>
      <w:color w:val="2F5496" w:themeColor="accent1" w:themeShade="BF"/>
      <w:spacing w:val="5"/>
    </w:rPr>
  </w:style>
  <w:style w:type="paragraph" w:styleId="Kopfzeile">
    <w:name w:val="header"/>
    <w:basedOn w:val="Standard"/>
    <w:link w:val="KopfzeileZchn"/>
    <w:uiPriority w:val="99"/>
    <w:unhideWhenUsed/>
    <w:rsid w:val="003416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16E6"/>
  </w:style>
  <w:style w:type="paragraph" w:styleId="Fuzeile">
    <w:name w:val="footer"/>
    <w:basedOn w:val="Standard"/>
    <w:link w:val="FuzeileZchn"/>
    <w:uiPriority w:val="99"/>
    <w:unhideWhenUsed/>
    <w:rsid w:val="003416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16E6"/>
  </w:style>
  <w:style w:type="character" w:styleId="Hyperlink">
    <w:name w:val="Hyperlink"/>
    <w:basedOn w:val="Absatz-Standardschriftart"/>
    <w:uiPriority w:val="99"/>
    <w:unhideWhenUsed/>
    <w:rsid w:val="003416E6"/>
    <w:rPr>
      <w:color w:val="0563C1" w:themeColor="hyperlink"/>
      <w:u w:val="single"/>
    </w:rPr>
  </w:style>
  <w:style w:type="character" w:styleId="NichtaufgelsteErwhnung">
    <w:name w:val="Unresolved Mention"/>
    <w:basedOn w:val="Absatz-Standardschriftart"/>
    <w:uiPriority w:val="99"/>
    <w:semiHidden/>
    <w:unhideWhenUsed/>
    <w:rsid w:val="003416E6"/>
    <w:rPr>
      <w:color w:val="605E5C"/>
      <w:shd w:val="clear" w:color="auto" w:fill="E1DFDD"/>
    </w:rPr>
  </w:style>
  <w:style w:type="character" w:customStyle="1" w:styleId="hadith">
    <w:name w:val="hadith"/>
    <w:basedOn w:val="Absatz-Standardschriftart"/>
    <w:rsid w:val="00676037"/>
  </w:style>
  <w:style w:type="paragraph" w:customStyle="1" w:styleId="Default">
    <w:name w:val="Default"/>
    <w:rsid w:val="00956AA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unotenzeichen">
    <w:name w:val="footnote reference"/>
    <w:basedOn w:val="Absatz-Standardschriftart"/>
    <w:uiPriority w:val="99"/>
    <w:semiHidden/>
    <w:unhideWhenUsed/>
    <w:rsid w:val="00D8753E"/>
    <w:rPr>
      <w:vertAlign w:val="superscript"/>
    </w:rPr>
  </w:style>
  <w:style w:type="paragraph" w:styleId="Funotentext">
    <w:name w:val="footnote text"/>
    <w:basedOn w:val="Standard"/>
    <w:link w:val="FunotentextZchn"/>
    <w:uiPriority w:val="99"/>
    <w:unhideWhenUsed/>
    <w:rsid w:val="004145BA"/>
    <w:pPr>
      <w:spacing w:after="0" w:line="240" w:lineRule="auto"/>
    </w:pPr>
    <w:rPr>
      <w:sz w:val="20"/>
      <w:szCs w:val="20"/>
    </w:rPr>
  </w:style>
  <w:style w:type="character" w:customStyle="1" w:styleId="FunotentextZchn">
    <w:name w:val="Fußnotentext Zchn"/>
    <w:basedOn w:val="Absatz-Standardschriftart"/>
    <w:link w:val="Funotentext"/>
    <w:uiPriority w:val="99"/>
    <w:rsid w:val="004145BA"/>
    <w:rPr>
      <w:sz w:val="20"/>
      <w:szCs w:val="20"/>
    </w:rPr>
  </w:style>
  <w:style w:type="paragraph" w:styleId="StandardWeb">
    <w:name w:val="Normal (Web)"/>
    <w:basedOn w:val="Standard"/>
    <w:uiPriority w:val="99"/>
    <w:unhideWhenUsed/>
    <w:rsid w:val="008C3B0D"/>
    <w:rPr>
      <w:rFonts w:ascii="Times New Roman" w:hAnsi="Times New Roman" w:cs="Times New Roman"/>
    </w:rPr>
  </w:style>
  <w:style w:type="paragraph" w:styleId="KeinLeerraum">
    <w:name w:val="No Spacing"/>
    <w:uiPriority w:val="1"/>
    <w:qFormat/>
    <w:rsid w:val="008E3CEC"/>
    <w:pPr>
      <w:spacing w:after="0" w:line="240" w:lineRule="auto"/>
    </w:pPr>
    <w:rPr>
      <w:rFonts w:ascii="Calibri" w:eastAsia="Calibri" w:hAnsi="Calibri" w:cs="Times New Roman"/>
      <w:kern w:val="0"/>
      <w:sz w:val="22"/>
      <w:szCs w:val="22"/>
      <w14:ligatures w14:val="none"/>
    </w:rPr>
  </w:style>
  <w:style w:type="paragraph" w:customStyle="1" w:styleId="Standard1">
    <w:name w:val="Standard+1"/>
    <w:basedOn w:val="Default"/>
    <w:next w:val="Default"/>
    <w:uiPriority w:val="99"/>
    <w:rsid w:val="002D1205"/>
    <w:rPr>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nnah.com/muslim:875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4B944-1D28-483A-B3A7-50F29ED5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1860</Words>
  <Characters>11719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Naved Johari</dc:creator>
  <cp:keywords/>
  <dc:description/>
  <cp:lastModifiedBy>M. Johari</cp:lastModifiedBy>
  <cp:revision>4</cp:revision>
  <cp:lastPrinted>2026-03-18T01:15:00Z</cp:lastPrinted>
  <dcterms:created xsi:type="dcterms:W3CDTF">2026-08-22T16:12:00Z</dcterms:created>
  <dcterms:modified xsi:type="dcterms:W3CDTF">2026-08-22T16:26:00Z</dcterms:modified>
</cp:coreProperties>
</file>